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a"/>
        <w:tblpPr w:leftFromText="180" w:rightFromText="180" w:horzAnchor="page" w:tblpX="1" w:tblpY="234"/>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Tr="00A959A2">
        <w:tc>
          <w:tcPr>
            <w:tcW w:w="743" w:type="dxa"/>
          </w:tcPr>
          <w:p w:rsidR="0094424E" w:rsidRPr="008A59EE" w:rsidRDefault="0094424E" w:rsidP="00A959A2">
            <w:pPr>
              <w:suppressLineNumbers/>
              <w:jc w:val="both"/>
              <w:rPr>
                <w:rFonts w:ascii="Arial" w:hAnsi="Arial"/>
                <w:b/>
                <w:bCs/>
                <w:sz w:val="26"/>
                <w:szCs w:val="26"/>
                <w:rtl/>
              </w:rPr>
            </w:pPr>
          </w:p>
        </w:tc>
        <w:tc>
          <w:tcPr>
            <w:tcW w:w="8077" w:type="dxa"/>
            <w:gridSpan w:val="2"/>
          </w:tcPr>
          <w:p w:rsidR="00007DE0" w:rsidRPr="008A59EE" w:rsidRDefault="00007DE0" w:rsidP="00A959A2">
            <w:pPr>
              <w:suppressLineNumbers/>
              <w:rPr>
                <w:sz w:val="26"/>
                <w:szCs w:val="26"/>
              </w:rPr>
            </w:pPr>
          </w:p>
        </w:tc>
      </w:tr>
      <w:tr w:rsidR="0094424E" w:rsidTr="00A959A2">
        <w:tc>
          <w:tcPr>
            <w:tcW w:w="3249" w:type="dxa"/>
            <w:gridSpan w:val="2"/>
          </w:tcPr>
          <w:p w:rsidR="003428F8" w:rsidRDefault="003428F8" w:rsidP="00A959A2">
            <w:pPr>
              <w:suppressLineNumbers/>
              <w:rPr>
                <w:rFonts w:ascii="Arial" w:hAnsi="Arial"/>
                <w:b/>
                <w:bCs/>
                <w:noProof w:val="0"/>
                <w:sz w:val="26"/>
                <w:szCs w:val="26"/>
                <w:rtl/>
              </w:rPr>
            </w:pPr>
          </w:p>
        </w:tc>
        <w:tc>
          <w:tcPr>
            <w:tcW w:w="5571" w:type="dxa"/>
          </w:tcPr>
          <w:p w:rsidR="0094424E" w:rsidRDefault="0094424E" w:rsidP="00A959A2">
            <w:pPr>
              <w:suppressLineNumbers/>
              <w:rPr>
                <w:b/>
                <w:bCs/>
                <w:noProof w:val="0"/>
                <w:sz w:val="26"/>
                <w:szCs w:val="26"/>
              </w:rPr>
            </w:pPr>
          </w:p>
        </w:tc>
      </w:tr>
      <w:tr w:rsidR="0094424E" w:rsidTr="00A959A2">
        <w:trPr>
          <w:trHeight w:val="112"/>
        </w:trPr>
        <w:tc>
          <w:tcPr>
            <w:tcW w:w="8820" w:type="dxa"/>
            <w:gridSpan w:val="3"/>
          </w:tcPr>
          <w:p w:rsidR="0094424E" w:rsidRDefault="0094424E" w:rsidP="00A959A2">
            <w:pPr>
              <w:suppressLineNumbers/>
              <w:rPr>
                <w:rFonts w:ascii="Arial" w:hAnsi="Arial"/>
                <w:b/>
                <w:bCs/>
                <w:noProof w:val="0"/>
                <w:sz w:val="26"/>
                <w:szCs w:val="26"/>
              </w:rPr>
            </w:pPr>
          </w:p>
        </w:tc>
      </w:tr>
      <w:tr w:rsidR="0094424E" w:rsidTr="00A959A2">
        <w:tc>
          <w:tcPr>
            <w:tcW w:w="3249" w:type="dxa"/>
            <w:gridSpan w:val="2"/>
          </w:tcPr>
          <w:p w:rsidR="0094424E" w:rsidRDefault="0094424E" w:rsidP="00A959A2">
            <w:pPr>
              <w:suppressLineNumbers/>
              <w:rPr>
                <w:rFonts w:ascii="Arial" w:hAnsi="Arial"/>
                <w:b/>
                <w:bCs/>
                <w:noProof w:val="0"/>
                <w:sz w:val="26"/>
                <w:szCs w:val="26"/>
              </w:rPr>
            </w:pPr>
          </w:p>
        </w:tc>
        <w:tc>
          <w:tcPr>
            <w:tcW w:w="5571" w:type="dxa"/>
          </w:tcPr>
          <w:p w:rsidR="00CF6BB7" w:rsidRPr="00CD516B" w:rsidRDefault="00CF6BB7" w:rsidP="00A959A2">
            <w:pPr>
              <w:suppressLineNumbers/>
              <w:rPr>
                <w:rFonts w:ascii="Arial" w:hAnsi="Arial"/>
                <w:b/>
                <w:bCs/>
                <w:noProof w:val="0"/>
                <w:sz w:val="26"/>
                <w:szCs w:val="26"/>
                <w:rtl/>
              </w:rPr>
            </w:pPr>
          </w:p>
        </w:tc>
      </w:tr>
      <w:tr w:rsidR="00CF6BB7" w:rsidTr="00A959A2">
        <w:tc>
          <w:tcPr>
            <w:tcW w:w="8820" w:type="dxa"/>
            <w:gridSpan w:val="3"/>
          </w:tcPr>
          <w:p w:rsidR="00CF6BB7" w:rsidRDefault="00CF6BB7" w:rsidP="00A959A2">
            <w:pPr>
              <w:suppressLineNumbers/>
              <w:rPr>
                <w:rtl/>
              </w:rPr>
            </w:pPr>
          </w:p>
        </w:tc>
      </w:tr>
      <w:tr w:rsidR="00CF6BB7" w:rsidTr="00A959A2">
        <w:tc>
          <w:tcPr>
            <w:tcW w:w="3249" w:type="dxa"/>
            <w:gridSpan w:val="2"/>
          </w:tcPr>
          <w:p w:rsidR="00B62AD7" w:rsidRPr="00B62AD7" w:rsidRDefault="00B62AD7" w:rsidP="00A959A2">
            <w:pPr>
              <w:rPr>
                <w:rFonts w:ascii="David" w:eastAsia="David" w:hAnsi="David"/>
                <w:b/>
                <w:bCs/>
                <w:noProof w:val="0"/>
              </w:rPr>
            </w:pPr>
          </w:p>
        </w:tc>
        <w:tc>
          <w:tcPr>
            <w:tcW w:w="5571" w:type="dxa"/>
          </w:tcPr>
          <w:p w:rsidR="00B66717" w:rsidRPr="00B62AD7" w:rsidRDefault="00B66717" w:rsidP="00A959A2">
            <w:pPr>
              <w:rPr>
                <w:b/>
                <w:bCs/>
                <w:sz w:val="26"/>
                <w:szCs w:val="26"/>
              </w:rPr>
            </w:pPr>
          </w:p>
        </w:tc>
      </w:tr>
      <w:tr w:rsidR="004C17EE" w:rsidTr="00A959A2">
        <w:tc>
          <w:tcPr>
            <w:tcW w:w="8820" w:type="dxa"/>
            <w:gridSpan w:val="3"/>
          </w:tcPr>
          <w:p w:rsidR="003428F8" w:rsidRDefault="003428F8" w:rsidP="00A959A2">
            <w:pPr>
              <w:suppressLineNumbers/>
              <w:rPr>
                <w:rFonts w:ascii="Arial" w:hAnsi="Arial"/>
                <w:b/>
                <w:bCs/>
                <w:noProof w:val="0"/>
                <w:sz w:val="26"/>
                <w:szCs w:val="26"/>
                <w:rtl/>
              </w:rPr>
            </w:pPr>
          </w:p>
        </w:tc>
      </w:tr>
    </w:tbl>
    <w:p w:rsidR="0094424E" w:rsidRDefault="0094424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476"/>
      </w:tblGrid>
      <w:tr w:rsidR="00694556" w:rsidRPr="00DE1E7D">
        <w:trPr>
          <w:jc w:val="center"/>
        </w:trPr>
        <w:tc>
          <w:tcPr>
            <w:tcW w:w="8820" w:type="dxa"/>
          </w:tcPr>
          <w:tbl>
            <w:tblPr>
              <w:tblStyle w:val="aa"/>
              <w:bidiVisual/>
              <w:tblW w:w="8820" w:type="dxa"/>
              <w:jc w:val="center"/>
              <w:tblLook w:val="01E0" w:firstRow="1" w:lastRow="1" w:firstColumn="1" w:lastColumn="1" w:noHBand="0" w:noVBand="0"/>
            </w:tblPr>
            <w:tblGrid>
              <w:gridCol w:w="743"/>
              <w:gridCol w:w="8077"/>
            </w:tblGrid>
            <w:tr w:rsidR="00A959A2" w:rsidTr="00A959A2">
              <w:trPr>
                <w:trHeight w:val="295"/>
                <w:jc w:val="center"/>
              </w:trPr>
              <w:tc>
                <w:tcPr>
                  <w:tcW w:w="743" w:type="dxa"/>
                  <w:tcBorders>
                    <w:top w:val="nil"/>
                    <w:left w:val="nil"/>
                    <w:bottom w:val="nil"/>
                    <w:right w:val="nil"/>
                  </w:tcBorders>
                  <w:hideMark/>
                </w:tcPr>
                <w:p w:rsidR="00A959A2" w:rsidRDefault="00A959A2" w:rsidP="00A959A2">
                  <w:pPr>
                    <w:jc w:val="both"/>
                    <w:rPr>
                      <w:rFonts w:ascii="Arial" w:hAnsi="Arial"/>
                      <w:b/>
                      <w:bCs/>
                      <w:noProof w:val="0"/>
                      <w:sz w:val="26"/>
                      <w:szCs w:val="26"/>
                    </w:rPr>
                  </w:pPr>
                  <w:r>
                    <w:rPr>
                      <w:rFonts w:ascii="Arial" w:hAnsi="Arial"/>
                      <w:b/>
                      <w:bCs/>
                      <w:sz w:val="26"/>
                      <w:szCs w:val="26"/>
                      <w:rtl/>
                    </w:rPr>
                    <w:t xml:space="preserve">לפני </w:t>
                  </w:r>
                </w:p>
              </w:tc>
              <w:tc>
                <w:tcPr>
                  <w:tcW w:w="8077" w:type="dxa"/>
                  <w:tcBorders>
                    <w:top w:val="nil"/>
                    <w:left w:val="nil"/>
                    <w:bottom w:val="nil"/>
                    <w:right w:val="nil"/>
                  </w:tcBorders>
                  <w:hideMark/>
                </w:tcPr>
                <w:p w:rsidR="00A959A2" w:rsidRDefault="00A959A2" w:rsidP="00A959A2">
                  <w:pPr>
                    <w:rPr>
                      <w:rFonts w:ascii="Arial" w:hAnsi="Arial"/>
                      <w:b/>
                      <w:bCs/>
                      <w:sz w:val="26"/>
                      <w:szCs w:val="26"/>
                      <w:highlight w:val="yellow"/>
                    </w:rPr>
                  </w:pPr>
                  <w:r>
                    <w:rPr>
                      <w:rFonts w:ascii="Arial" w:hAnsi="Arial"/>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שופט, סגן הנשיאה</w:t>
                      </w:r>
                    </w:sdtContent>
                  </w:sdt>
                  <w:r>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עמי קובו</w:t>
                      </w:r>
                    </w:sdtContent>
                  </w:sdt>
                  <w:sdt>
                    <w:sdtPr>
                      <w:rPr>
                        <w:sz w:val="26"/>
                        <w:szCs w:val="26"/>
                        <w:rtl/>
                      </w:rPr>
                      <w:alias w:val="1574"/>
                      <w:tag w:val="1574"/>
                      <w:id w:val="-1795439939"/>
                      <w:text w:multiLine="1"/>
                    </w:sdtPr>
                    <w:sdtEndPr/>
                    <w:sdtContent>
                      <w:r>
                        <w:rPr>
                          <w:rFonts w:ascii="Arial" w:hAnsi="Arial"/>
                          <w:b/>
                          <w:bCs/>
                          <w:sz w:val="26"/>
                          <w:szCs w:val="26"/>
                          <w:rtl/>
                        </w:rPr>
                        <w:t xml:space="preserve"> </w:t>
                      </w:r>
                      <w:r>
                        <w:rPr>
                          <w:rFonts w:ascii="Arial" w:hAnsi="Arial"/>
                          <w:b/>
                          <w:bCs/>
                          <w:sz w:val="26"/>
                          <w:szCs w:val="26"/>
                          <w:rtl/>
                        </w:rPr>
                        <w:br/>
                        <w:t>כבוד השופט</w:t>
                      </w:r>
                    </w:sdtContent>
                  </w:sdt>
                  <w:r>
                    <w:rPr>
                      <w:rFonts w:ascii="Arial" w:hAnsi="Arial"/>
                      <w:b/>
                      <w:bCs/>
                      <w:sz w:val="26"/>
                      <w:szCs w:val="26"/>
                      <w:rtl/>
                    </w:rPr>
                    <w:t xml:space="preserve"> </w:t>
                  </w:r>
                  <w:sdt>
                    <w:sdtPr>
                      <w:rPr>
                        <w:sz w:val="26"/>
                        <w:szCs w:val="26"/>
                        <w:rtl/>
                      </w:rPr>
                      <w:alias w:val="1573"/>
                      <w:tag w:val="1573"/>
                      <w:id w:val="781227229"/>
                      <w:text w:multiLine="1"/>
                    </w:sdtPr>
                    <w:sdtEndPr/>
                    <w:sdtContent>
                      <w:r>
                        <w:rPr>
                          <w:rFonts w:ascii="Arial" w:hAnsi="Arial"/>
                          <w:b/>
                          <w:bCs/>
                          <w:sz w:val="26"/>
                          <w:szCs w:val="26"/>
                          <w:rtl/>
                        </w:rPr>
                        <w:t>מיכאל קרשן</w:t>
                      </w:r>
                    </w:sdtContent>
                  </w:sdt>
                  <w:sdt>
                    <w:sdtPr>
                      <w:rPr>
                        <w:sz w:val="26"/>
                        <w:szCs w:val="26"/>
                        <w:rtl/>
                      </w:rPr>
                      <w:alias w:val="1574"/>
                      <w:tag w:val="1574"/>
                      <w:id w:val="2040315186"/>
                      <w:text w:multiLine="1"/>
                    </w:sdtPr>
                    <w:sdtEndPr/>
                    <w:sdtContent>
                      <w:r>
                        <w:rPr>
                          <w:rFonts w:ascii="Arial" w:hAnsi="Arial"/>
                          <w:b/>
                          <w:bCs/>
                          <w:sz w:val="26"/>
                          <w:szCs w:val="26"/>
                          <w:rtl/>
                        </w:rPr>
                        <w:br/>
                        <w:t>כבוד השופטת</w:t>
                      </w:r>
                    </w:sdtContent>
                  </w:sdt>
                  <w:r>
                    <w:rPr>
                      <w:rFonts w:ascii="Arial" w:hAnsi="Arial"/>
                      <w:b/>
                      <w:bCs/>
                      <w:sz w:val="26"/>
                      <w:szCs w:val="26"/>
                      <w:rtl/>
                    </w:rPr>
                    <w:t xml:space="preserve"> </w:t>
                  </w:r>
                  <w:sdt>
                    <w:sdtPr>
                      <w:rPr>
                        <w:sz w:val="26"/>
                        <w:szCs w:val="26"/>
                        <w:rtl/>
                      </w:rPr>
                      <w:alias w:val="1573"/>
                      <w:tag w:val="1573"/>
                      <w:id w:val="-1792196037"/>
                      <w:text w:multiLine="1"/>
                    </w:sdtPr>
                    <w:sdtEndPr/>
                    <w:sdtContent>
                      <w:r>
                        <w:rPr>
                          <w:rFonts w:ascii="Arial" w:hAnsi="Arial"/>
                          <w:b/>
                          <w:bCs/>
                          <w:sz w:val="26"/>
                          <w:szCs w:val="26"/>
                          <w:rtl/>
                        </w:rPr>
                        <w:t>מרב גרינברג</w:t>
                      </w:r>
                    </w:sdtContent>
                  </w:sdt>
                </w:p>
              </w:tc>
            </w:tr>
          </w:tbl>
          <w:p w:rsidR="00A959A2" w:rsidRDefault="00A959A2" w:rsidP="00A959A2">
            <w:pPr>
              <w:rPr>
                <w:rFonts w:ascii="Arial (W1)" w:hAnsi="Arial (W1)"/>
              </w:rPr>
            </w:pPr>
          </w:p>
          <w:tbl>
            <w:tblPr>
              <w:tblStyle w:val="aa"/>
              <w:bidiVisual/>
              <w:tblW w:w="8820" w:type="dxa"/>
              <w:jc w:val="center"/>
              <w:tblLook w:val="01E0" w:firstRow="1" w:lastRow="1" w:firstColumn="1" w:lastColumn="1" w:noHBand="0" w:noVBand="0"/>
            </w:tblPr>
            <w:tblGrid>
              <w:gridCol w:w="893"/>
              <w:gridCol w:w="4218"/>
              <w:gridCol w:w="3709"/>
            </w:tblGrid>
            <w:tr w:rsidR="00A959A2" w:rsidTr="00A959A2">
              <w:trPr>
                <w:trHeight w:val="355"/>
                <w:jc w:val="center"/>
              </w:trPr>
              <w:tc>
                <w:tcPr>
                  <w:tcW w:w="852" w:type="dxa"/>
                  <w:tcBorders>
                    <w:top w:val="nil"/>
                    <w:left w:val="nil"/>
                    <w:bottom w:val="nil"/>
                    <w:right w:val="nil"/>
                  </w:tcBorders>
                </w:tcPr>
                <w:p w:rsidR="00A959A2" w:rsidRDefault="00A959A2" w:rsidP="00A959A2">
                  <w:pPr>
                    <w:jc w:val="both"/>
                    <w:rPr>
                      <w:rFonts w:ascii="David" w:hAnsi="David"/>
                      <w:b/>
                      <w:bCs/>
                      <w:sz w:val="26"/>
                      <w:szCs w:val="26"/>
                      <w:rtl/>
                    </w:rPr>
                  </w:pPr>
                </w:p>
                <w:p w:rsidR="00A959A2" w:rsidRDefault="00A959A2" w:rsidP="00A959A2">
                  <w:pPr>
                    <w:jc w:val="both"/>
                    <w:rPr>
                      <w:rFonts w:ascii="David" w:hAnsi="David"/>
                      <w:b/>
                      <w:bCs/>
                      <w:sz w:val="26"/>
                      <w:szCs w:val="26"/>
                      <w:rtl/>
                    </w:rPr>
                  </w:pPr>
                  <w:r>
                    <w:rPr>
                      <w:rFonts w:ascii="David" w:hAnsi="David"/>
                      <w:b/>
                      <w:bCs/>
                      <w:sz w:val="26"/>
                      <w:szCs w:val="26"/>
                      <w:rtl/>
                    </w:rPr>
                    <w:t>בעניין:</w:t>
                  </w:r>
                </w:p>
              </w:tc>
              <w:tc>
                <w:tcPr>
                  <w:tcW w:w="4241" w:type="dxa"/>
                  <w:tcBorders>
                    <w:top w:val="nil"/>
                    <w:left w:val="nil"/>
                    <w:bottom w:val="nil"/>
                    <w:right w:val="nil"/>
                  </w:tcBorders>
                </w:tcPr>
                <w:p w:rsidR="00A959A2" w:rsidRDefault="00A959A2" w:rsidP="00A959A2">
                  <w:pPr>
                    <w:rPr>
                      <w:rFonts w:ascii="David" w:hAnsi="David"/>
                      <w:b/>
                      <w:bCs/>
                      <w:sz w:val="26"/>
                      <w:szCs w:val="26"/>
                    </w:rPr>
                  </w:pPr>
                </w:p>
                <w:p w:rsidR="00A959A2" w:rsidRDefault="006A22E3" w:rsidP="00A959A2">
                  <w:pPr>
                    <w:rPr>
                      <w:rFonts w:ascii="David" w:hAnsi="David"/>
                      <w:sz w:val="26"/>
                      <w:szCs w:val="26"/>
                      <w:rtl/>
                    </w:rPr>
                  </w:pPr>
                  <w:sdt>
                    <w:sdtPr>
                      <w:rPr>
                        <w:rFonts w:ascii="David" w:hAnsi="David"/>
                        <w:sz w:val="26"/>
                        <w:szCs w:val="26"/>
                        <w:rtl/>
                      </w:rPr>
                      <w:alias w:val="1478"/>
                      <w:tag w:val="1478"/>
                      <w:id w:val="-188685930"/>
                      <w:text w:multiLine="1"/>
                    </w:sdtPr>
                    <w:sdtEndPr/>
                    <w:sdtContent>
                      <w:r w:rsidR="00A959A2">
                        <w:rPr>
                          <w:rFonts w:ascii="David" w:hAnsi="David"/>
                          <w:b/>
                          <w:bCs/>
                          <w:sz w:val="26"/>
                          <w:szCs w:val="26"/>
                          <w:rtl/>
                        </w:rPr>
                        <w:t>מדינת ישראל</w:t>
                      </w:r>
                    </w:sdtContent>
                  </w:sdt>
                  <w:r w:rsidR="00A959A2">
                    <w:rPr>
                      <w:rFonts w:ascii="David" w:hAnsi="David"/>
                      <w:sz w:val="26"/>
                      <w:szCs w:val="26"/>
                      <w:rtl/>
                    </w:rPr>
                    <w:t xml:space="preserve"> </w:t>
                  </w:r>
                </w:p>
                <w:p w:rsidR="00A959A2" w:rsidRDefault="00A959A2" w:rsidP="00A959A2">
                  <w:pPr>
                    <w:rPr>
                      <w:rFonts w:ascii="Arial" w:hAnsi="Arial"/>
                      <w:rtl/>
                    </w:rPr>
                  </w:pPr>
                  <w:r>
                    <w:rPr>
                      <w:rFonts w:ascii="Arial" w:hAnsi="Arial"/>
                      <w:rtl/>
                    </w:rPr>
                    <w:t>באמצעות פרקליטות מחוז מרכז</w:t>
                  </w:r>
                </w:p>
                <w:p w:rsidR="00A959A2" w:rsidRDefault="00A959A2" w:rsidP="00A959A2">
                  <w:pPr>
                    <w:rPr>
                      <w:rFonts w:ascii="David" w:hAnsi="David"/>
                      <w:b/>
                      <w:bCs/>
                      <w:sz w:val="26"/>
                      <w:szCs w:val="26"/>
                      <w:rtl/>
                    </w:rPr>
                  </w:pPr>
                  <w:r>
                    <w:rPr>
                      <w:rFonts w:ascii="Arial" w:hAnsi="Arial"/>
                      <w:rtl/>
                    </w:rPr>
                    <w:t>ע"י עו"ד</w:t>
                  </w:r>
                  <w:r>
                    <w:rPr>
                      <w:rFonts w:ascii="David" w:hAnsi="David"/>
                      <w:rtl/>
                    </w:rPr>
                    <w:t xml:space="preserve"> אפרת פאר</w:t>
                  </w:r>
                </w:p>
              </w:tc>
              <w:tc>
                <w:tcPr>
                  <w:tcW w:w="3727" w:type="dxa"/>
                  <w:tcBorders>
                    <w:top w:val="nil"/>
                    <w:left w:val="nil"/>
                    <w:bottom w:val="nil"/>
                    <w:right w:val="nil"/>
                  </w:tcBorders>
                </w:tcPr>
                <w:p w:rsidR="00A959A2" w:rsidRDefault="00A959A2" w:rsidP="00A959A2">
                  <w:pPr>
                    <w:jc w:val="both"/>
                    <w:rPr>
                      <w:rFonts w:ascii="David" w:hAnsi="David"/>
                      <w:b/>
                      <w:bCs/>
                      <w:sz w:val="26"/>
                      <w:szCs w:val="26"/>
                    </w:rPr>
                  </w:pPr>
                </w:p>
              </w:tc>
            </w:tr>
            <w:tr w:rsidR="00A959A2" w:rsidTr="00A959A2">
              <w:trPr>
                <w:trHeight w:val="355"/>
                <w:jc w:val="center"/>
              </w:trPr>
              <w:tc>
                <w:tcPr>
                  <w:tcW w:w="852" w:type="dxa"/>
                  <w:tcBorders>
                    <w:top w:val="nil"/>
                    <w:left w:val="nil"/>
                    <w:bottom w:val="nil"/>
                    <w:right w:val="nil"/>
                  </w:tcBorders>
                </w:tcPr>
                <w:p w:rsidR="00A959A2" w:rsidRDefault="00A959A2" w:rsidP="00A959A2">
                  <w:pPr>
                    <w:jc w:val="both"/>
                    <w:rPr>
                      <w:rFonts w:ascii="David" w:hAnsi="David"/>
                      <w:b/>
                      <w:bCs/>
                      <w:sz w:val="26"/>
                      <w:szCs w:val="26"/>
                    </w:rPr>
                  </w:pPr>
                </w:p>
              </w:tc>
              <w:tc>
                <w:tcPr>
                  <w:tcW w:w="4241" w:type="dxa"/>
                  <w:tcBorders>
                    <w:top w:val="nil"/>
                    <w:left w:val="nil"/>
                    <w:bottom w:val="nil"/>
                    <w:right w:val="nil"/>
                  </w:tcBorders>
                </w:tcPr>
                <w:p w:rsidR="00A959A2" w:rsidRDefault="00A959A2" w:rsidP="00A959A2">
                  <w:pPr>
                    <w:jc w:val="both"/>
                    <w:rPr>
                      <w:rFonts w:ascii="David" w:hAnsi="David"/>
                      <w:b/>
                      <w:bCs/>
                      <w:sz w:val="26"/>
                      <w:szCs w:val="26"/>
                      <w:rtl/>
                    </w:rPr>
                  </w:pPr>
                </w:p>
              </w:tc>
              <w:tc>
                <w:tcPr>
                  <w:tcW w:w="3727" w:type="dxa"/>
                  <w:tcBorders>
                    <w:top w:val="nil"/>
                    <w:left w:val="nil"/>
                    <w:bottom w:val="nil"/>
                    <w:right w:val="nil"/>
                  </w:tcBorders>
                  <w:hideMark/>
                </w:tcPr>
                <w:p w:rsidR="00A959A2" w:rsidRDefault="00A959A2" w:rsidP="00A959A2">
                  <w:pPr>
                    <w:rPr>
                      <w:rFonts w:ascii="David" w:hAnsi="David"/>
                      <w:b/>
                      <w:bCs/>
                      <w:sz w:val="26"/>
                      <w:szCs w:val="26"/>
                      <w:rtl/>
                    </w:rPr>
                  </w:pPr>
                  <w:r>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A959A2" w:rsidTr="00A959A2">
              <w:trPr>
                <w:trHeight w:val="355"/>
                <w:jc w:val="center"/>
              </w:trPr>
              <w:tc>
                <w:tcPr>
                  <w:tcW w:w="852" w:type="dxa"/>
                  <w:tcBorders>
                    <w:top w:val="nil"/>
                    <w:left w:val="nil"/>
                    <w:bottom w:val="nil"/>
                    <w:right w:val="nil"/>
                  </w:tcBorders>
                </w:tcPr>
                <w:p w:rsidR="00A959A2" w:rsidRDefault="00A959A2" w:rsidP="00A959A2">
                  <w:pPr>
                    <w:jc w:val="both"/>
                    <w:rPr>
                      <w:rFonts w:ascii="David" w:hAnsi="David"/>
                      <w:b/>
                      <w:bCs/>
                      <w:sz w:val="26"/>
                      <w:szCs w:val="26"/>
                      <w:rtl/>
                    </w:rPr>
                  </w:pPr>
                </w:p>
              </w:tc>
              <w:tc>
                <w:tcPr>
                  <w:tcW w:w="7968" w:type="dxa"/>
                  <w:gridSpan w:val="2"/>
                  <w:tcBorders>
                    <w:top w:val="nil"/>
                    <w:left w:val="nil"/>
                    <w:bottom w:val="nil"/>
                    <w:right w:val="nil"/>
                  </w:tcBorders>
                </w:tcPr>
                <w:p w:rsidR="00A959A2" w:rsidRDefault="00A959A2" w:rsidP="00A959A2">
                  <w:pPr>
                    <w:jc w:val="center"/>
                    <w:rPr>
                      <w:rFonts w:ascii="David" w:hAnsi="David"/>
                      <w:b/>
                      <w:bCs/>
                      <w:sz w:val="26"/>
                      <w:szCs w:val="26"/>
                      <w:rtl/>
                    </w:rPr>
                  </w:pPr>
                </w:p>
                <w:p w:rsidR="00A959A2" w:rsidRDefault="00A959A2" w:rsidP="00A959A2">
                  <w:pPr>
                    <w:jc w:val="center"/>
                    <w:rPr>
                      <w:rFonts w:ascii="David" w:hAnsi="David"/>
                      <w:b/>
                      <w:bCs/>
                      <w:sz w:val="26"/>
                      <w:szCs w:val="26"/>
                      <w:rtl/>
                    </w:rPr>
                  </w:pPr>
                  <w:r>
                    <w:rPr>
                      <w:rFonts w:ascii="David" w:hAnsi="David"/>
                      <w:b/>
                      <w:bCs/>
                      <w:sz w:val="26"/>
                      <w:szCs w:val="26"/>
                      <w:rtl/>
                    </w:rPr>
                    <w:t>נגד</w:t>
                  </w:r>
                </w:p>
                <w:p w:rsidR="00A959A2" w:rsidRDefault="00A959A2" w:rsidP="00A959A2">
                  <w:pPr>
                    <w:jc w:val="both"/>
                    <w:rPr>
                      <w:rFonts w:ascii="David" w:hAnsi="David"/>
                      <w:b/>
                      <w:bCs/>
                      <w:sz w:val="26"/>
                      <w:szCs w:val="26"/>
                      <w:rtl/>
                    </w:rPr>
                  </w:pPr>
                </w:p>
              </w:tc>
            </w:tr>
            <w:tr w:rsidR="00A959A2" w:rsidTr="00A959A2">
              <w:trPr>
                <w:trHeight w:val="355"/>
                <w:jc w:val="center"/>
              </w:trPr>
              <w:tc>
                <w:tcPr>
                  <w:tcW w:w="852" w:type="dxa"/>
                  <w:tcBorders>
                    <w:top w:val="nil"/>
                    <w:left w:val="nil"/>
                    <w:bottom w:val="nil"/>
                    <w:right w:val="nil"/>
                  </w:tcBorders>
                </w:tcPr>
                <w:p w:rsidR="00A959A2" w:rsidRDefault="00A959A2" w:rsidP="00A959A2">
                  <w:pPr>
                    <w:jc w:val="both"/>
                    <w:rPr>
                      <w:rFonts w:ascii="David" w:hAnsi="David"/>
                      <w:b/>
                      <w:bCs/>
                      <w:sz w:val="26"/>
                      <w:szCs w:val="26"/>
                    </w:rPr>
                  </w:pPr>
                </w:p>
              </w:tc>
              <w:tc>
                <w:tcPr>
                  <w:tcW w:w="4241" w:type="dxa"/>
                  <w:tcBorders>
                    <w:top w:val="nil"/>
                    <w:left w:val="nil"/>
                    <w:bottom w:val="nil"/>
                    <w:right w:val="nil"/>
                  </w:tcBorders>
                  <w:hideMark/>
                </w:tcPr>
                <w:p w:rsidR="00A959A2" w:rsidRDefault="006A22E3" w:rsidP="008A3EEF">
                  <w:pPr>
                    <w:rPr>
                      <w:rFonts w:ascii="Arial" w:hAnsi="Arial"/>
                      <w:b/>
                      <w:bCs/>
                      <w:sz w:val="26"/>
                      <w:szCs w:val="26"/>
                      <w:rtl/>
                    </w:rPr>
                  </w:pPr>
                  <w:sdt>
                    <w:sdtPr>
                      <w:rPr>
                        <w:rFonts w:ascii="David" w:hAnsi="David"/>
                        <w:sz w:val="26"/>
                        <w:szCs w:val="26"/>
                        <w:rtl/>
                      </w:rPr>
                      <w:alias w:val="1486"/>
                      <w:tag w:val="1486"/>
                      <w:id w:val="1635441335"/>
                      <w:text w:multiLine="1"/>
                    </w:sdtPr>
                    <w:sdtEndPr/>
                    <w:sdtContent>
                      <w:r w:rsidR="008A3EEF">
                        <w:rPr>
                          <w:rFonts w:ascii="David" w:hAnsi="David" w:hint="cs"/>
                          <w:b/>
                          <w:bCs/>
                          <w:sz w:val="26"/>
                          <w:szCs w:val="26"/>
                          <w:rtl/>
                        </w:rPr>
                        <w:t>פלוני</w:t>
                      </w:r>
                    </w:sdtContent>
                  </w:sdt>
                  <w:r w:rsidR="00A959A2">
                    <w:rPr>
                      <w:rFonts w:ascii="David" w:hAnsi="David"/>
                      <w:sz w:val="26"/>
                      <w:szCs w:val="26"/>
                      <w:rtl/>
                    </w:rPr>
                    <w:t xml:space="preserve"> </w:t>
                  </w:r>
                </w:p>
                <w:p w:rsidR="00A959A2" w:rsidRDefault="00A959A2" w:rsidP="00A959A2">
                  <w:pPr>
                    <w:rPr>
                      <w:rFonts w:ascii="David" w:hAnsi="David"/>
                      <w:rtl/>
                    </w:rPr>
                  </w:pPr>
                  <w:r>
                    <w:rPr>
                      <w:rFonts w:ascii="Arial" w:hAnsi="Arial"/>
                      <w:rtl/>
                    </w:rPr>
                    <w:t>ע"י עו"ד</w:t>
                  </w:r>
                  <w:r>
                    <w:rPr>
                      <w:rFonts w:ascii="David" w:hAnsi="David"/>
                      <w:rtl/>
                    </w:rPr>
                    <w:t xml:space="preserve"> הרצל סמילה</w:t>
                  </w:r>
                </w:p>
              </w:tc>
              <w:tc>
                <w:tcPr>
                  <w:tcW w:w="3727" w:type="dxa"/>
                  <w:tcBorders>
                    <w:top w:val="nil"/>
                    <w:left w:val="nil"/>
                    <w:bottom w:val="nil"/>
                    <w:right w:val="nil"/>
                  </w:tcBorders>
                </w:tcPr>
                <w:p w:rsidR="00A959A2" w:rsidRDefault="00A959A2" w:rsidP="00A959A2">
                  <w:pPr>
                    <w:jc w:val="right"/>
                    <w:rPr>
                      <w:rFonts w:ascii="David" w:hAnsi="David"/>
                      <w:b/>
                      <w:bCs/>
                      <w:sz w:val="26"/>
                      <w:szCs w:val="26"/>
                      <w:rtl/>
                    </w:rPr>
                  </w:pPr>
                </w:p>
              </w:tc>
            </w:tr>
            <w:tr w:rsidR="00A959A2" w:rsidTr="00A959A2">
              <w:trPr>
                <w:trHeight w:val="355"/>
                <w:jc w:val="center"/>
              </w:trPr>
              <w:tc>
                <w:tcPr>
                  <w:tcW w:w="852" w:type="dxa"/>
                  <w:tcBorders>
                    <w:top w:val="nil"/>
                    <w:left w:val="nil"/>
                    <w:bottom w:val="nil"/>
                    <w:right w:val="nil"/>
                  </w:tcBorders>
                </w:tcPr>
                <w:p w:rsidR="00A959A2" w:rsidRDefault="00A959A2" w:rsidP="00A959A2">
                  <w:pPr>
                    <w:jc w:val="both"/>
                    <w:rPr>
                      <w:rFonts w:ascii="David" w:hAnsi="David"/>
                      <w:b/>
                      <w:bCs/>
                      <w:sz w:val="26"/>
                      <w:szCs w:val="26"/>
                    </w:rPr>
                  </w:pPr>
                </w:p>
              </w:tc>
              <w:tc>
                <w:tcPr>
                  <w:tcW w:w="4241" w:type="dxa"/>
                  <w:tcBorders>
                    <w:top w:val="nil"/>
                    <w:left w:val="nil"/>
                    <w:bottom w:val="nil"/>
                    <w:right w:val="nil"/>
                  </w:tcBorders>
                </w:tcPr>
                <w:p w:rsidR="00A959A2" w:rsidRDefault="00A959A2" w:rsidP="00A959A2">
                  <w:pPr>
                    <w:jc w:val="both"/>
                    <w:rPr>
                      <w:rFonts w:ascii="David" w:hAnsi="David"/>
                      <w:b/>
                      <w:bCs/>
                      <w:sz w:val="26"/>
                      <w:szCs w:val="26"/>
                      <w:rtl/>
                    </w:rPr>
                  </w:pPr>
                </w:p>
              </w:tc>
              <w:tc>
                <w:tcPr>
                  <w:tcW w:w="3727" w:type="dxa"/>
                  <w:tcBorders>
                    <w:top w:val="nil"/>
                    <w:left w:val="nil"/>
                    <w:bottom w:val="nil"/>
                    <w:right w:val="nil"/>
                  </w:tcBorders>
                  <w:hideMark/>
                </w:tcPr>
                <w:p w:rsidR="00A959A2" w:rsidRDefault="00A959A2" w:rsidP="00A959A2">
                  <w:pPr>
                    <w:rPr>
                      <w:rFonts w:ascii="David" w:hAnsi="David"/>
                      <w:b/>
                      <w:bCs/>
                      <w:sz w:val="26"/>
                      <w:szCs w:val="26"/>
                      <w:rtl/>
                    </w:rPr>
                  </w:pPr>
                  <w:r>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A959A2" w:rsidRDefault="00A959A2" w:rsidP="00A959A2">
            <w:pPr>
              <w:rPr>
                <w:rFonts w:ascii="Arial (W1)" w:hAnsi="Arial (W1)"/>
              </w:rPr>
            </w:pPr>
          </w:p>
          <w:p w:rsidR="00A959A2" w:rsidRPr="008A3EEF" w:rsidRDefault="008A3EEF" w:rsidP="008A3EEF">
            <w:pPr>
              <w:jc w:val="center"/>
              <w:rPr>
                <w:u w:val="single"/>
                <w:rtl/>
              </w:rPr>
            </w:pPr>
            <w:r w:rsidRPr="008A3EEF">
              <w:rPr>
                <w:rFonts w:hint="cs"/>
                <w:u w:val="single"/>
                <w:rtl/>
              </w:rPr>
              <w:t>נוסח זה של הכרעת הדין מותר בפרסום</w:t>
            </w:r>
          </w:p>
          <w:tbl>
            <w:tblPr>
              <w:tblStyle w:val="aa"/>
              <w:bidiVisual/>
              <w:tblW w:w="8820" w:type="dxa"/>
              <w:jc w:val="center"/>
              <w:tblLook w:val="01E0" w:firstRow="1" w:lastRow="1" w:firstColumn="1" w:lastColumn="1" w:noHBand="0" w:noVBand="0"/>
            </w:tblPr>
            <w:tblGrid>
              <w:gridCol w:w="8820"/>
            </w:tblGrid>
            <w:tr w:rsidR="00A959A2" w:rsidTr="00A959A2">
              <w:trPr>
                <w:trHeight w:val="355"/>
                <w:jc w:val="center"/>
              </w:trPr>
              <w:tc>
                <w:tcPr>
                  <w:tcW w:w="8820" w:type="dxa"/>
                  <w:tcBorders>
                    <w:top w:val="nil"/>
                    <w:left w:val="nil"/>
                    <w:bottom w:val="nil"/>
                    <w:right w:val="nil"/>
                  </w:tcBorders>
                  <w:hideMark/>
                </w:tcPr>
                <w:p w:rsidR="00A959A2" w:rsidRDefault="00A959A2" w:rsidP="00A959A2">
                  <w:pPr>
                    <w:jc w:val="center"/>
                    <w:rPr>
                      <w:rFonts w:ascii="Arial" w:hAnsi="Arial"/>
                      <w:sz w:val="28"/>
                      <w:szCs w:val="28"/>
                      <w:u w:val="single"/>
                      <w:rtl/>
                    </w:rPr>
                  </w:pPr>
                  <w:r>
                    <w:rPr>
                      <w:rFonts w:ascii="Arial" w:hAnsi="Arial"/>
                      <w:b/>
                      <w:bCs/>
                      <w:sz w:val="28"/>
                      <w:szCs w:val="28"/>
                      <w:u w:val="single"/>
                      <w:rtl/>
                    </w:rPr>
                    <w:t>הכרעת דין</w:t>
                  </w:r>
                </w:p>
              </w:tc>
            </w:tr>
          </w:tbl>
          <w:p w:rsidR="00A959A2" w:rsidRDefault="00A959A2" w:rsidP="00A959A2">
            <w:pPr>
              <w:rPr>
                <w:rFonts w:ascii="David" w:hAnsi="David"/>
                <w:sz w:val="26"/>
                <w:szCs w:val="26"/>
                <w:rtl/>
              </w:rPr>
            </w:pPr>
          </w:p>
          <w:p w:rsidR="00A959A2" w:rsidRDefault="00A959A2" w:rsidP="00A959A2">
            <w:pPr>
              <w:pStyle w:val="af"/>
              <w:jc w:val="both"/>
              <w:rPr>
                <w:rtl/>
              </w:rPr>
            </w:pPr>
            <w:r>
              <w:rPr>
                <w:rtl/>
              </w:rPr>
              <w:t>סגן הנשיאה עמי קובו, אב"ד</w:t>
            </w:r>
          </w:p>
          <w:p w:rsidR="00A959A2" w:rsidRDefault="00A959A2" w:rsidP="00A959A2">
            <w:pPr>
              <w:pStyle w:val="af"/>
              <w:jc w:val="both"/>
              <w:rPr>
                <w:rtl/>
              </w:rPr>
            </w:pPr>
            <w:r>
              <w:rPr>
                <w:rtl/>
              </w:rPr>
              <w:t>רקע</w:t>
            </w:r>
          </w:p>
          <w:p w:rsidR="00A959A2" w:rsidRDefault="00A959A2" w:rsidP="00A959A2">
            <w:pPr>
              <w:pStyle w:val="a"/>
              <w:jc w:val="both"/>
              <w:rPr>
                <w:rtl/>
              </w:rPr>
            </w:pPr>
            <w:r>
              <w:rPr>
                <w:rFonts w:hint="cs"/>
                <w:rtl/>
              </w:rPr>
              <w:t xml:space="preserve">הנאשם, בן זוגה של סבתן של שתי קטינות, הואשם בעבירות של מעשה סדום, ניסיון מעשי אינוס ומעשים מגונים שביצע בנכדתו א.א, בעת שהייתה בת 10-5, וכן בעבירות של מעשים מגונים שביצע, על פי הנטען, בנכדתו ח.ח, בעת שהייתה בת 5-3. </w:t>
            </w:r>
            <w:r>
              <w:rPr>
                <w:rFonts w:hint="cs"/>
                <w:u w:val="single"/>
                <w:rtl/>
              </w:rPr>
              <w:t>יאמר כבר עתה, כי מצאנו לנכון לזכות את הנאשם מהעבירות כלפי ח.ח (המפורטות באישום 9), ולהרשיעו בעבירות כלפי א.א (המפורטות באישומים 1-8)</w:t>
            </w:r>
            <w:r>
              <w:rPr>
                <w:rFonts w:hint="cs"/>
                <w:rtl/>
              </w:rPr>
              <w:t xml:space="preserve">. </w:t>
            </w:r>
          </w:p>
          <w:p w:rsidR="00A959A2" w:rsidRDefault="00A959A2" w:rsidP="00A959A2">
            <w:pPr>
              <w:pStyle w:val="a"/>
              <w:jc w:val="both"/>
              <w:rPr>
                <w:rtl/>
              </w:rPr>
            </w:pPr>
            <w:r>
              <w:rPr>
                <w:rFonts w:hint="cs"/>
                <w:rtl/>
              </w:rPr>
              <w:t>כתב אישום שהוגש נגד הנאשם מגולל מסכת של עבירות מין שביצע הנאשם בנכדתו הקטינה א.א (ילידת יוני 2008) – המפורטים באישומים 1-8, ובנכדתו הקטינה ח.ח (ילידת מרץ 2014) כמפורט באישום 9, ומייחס לו ביצוע העבירות הבאות:</w:t>
            </w:r>
          </w:p>
          <w:p w:rsidR="00A959A2" w:rsidRDefault="00A959A2" w:rsidP="00A959A2">
            <w:pPr>
              <w:pStyle w:val="a"/>
              <w:numPr>
                <w:ilvl w:val="1"/>
                <w:numId w:val="1"/>
              </w:numPr>
              <w:tabs>
                <w:tab w:val="left" w:pos="720"/>
              </w:tabs>
              <w:ind w:left="1274" w:hanging="567"/>
              <w:jc w:val="both"/>
            </w:pPr>
            <w:r>
              <w:rPr>
                <w:rFonts w:hint="cs"/>
                <w:u w:val="single"/>
                <w:rtl/>
              </w:rPr>
              <w:t>באישומים 5-1</w:t>
            </w:r>
            <w:r>
              <w:rPr>
                <w:rFonts w:hint="cs"/>
                <w:b/>
                <w:bCs/>
                <w:u w:val="single"/>
                <w:rtl/>
              </w:rPr>
              <w:t>,</w:t>
            </w:r>
            <w:r>
              <w:rPr>
                <w:rFonts w:hint="cs"/>
                <w:u w:val="single"/>
                <w:rtl/>
              </w:rPr>
              <w:t xml:space="preserve"> 9</w:t>
            </w:r>
            <w:r>
              <w:rPr>
                <w:rFonts w:hint="cs"/>
                <w:rtl/>
              </w:rPr>
              <w:t xml:space="preserve"> </w:t>
            </w:r>
            <w:r>
              <w:rPr>
                <w:rFonts w:hint="cs"/>
                <w:b/>
                <w:bCs/>
                <w:rtl/>
              </w:rPr>
              <w:t>– מעשה מגונה בקטינה שטרם מלאו לה 16</w:t>
            </w:r>
            <w:r>
              <w:rPr>
                <w:rFonts w:hint="cs"/>
                <w:rtl/>
              </w:rPr>
              <w:t xml:space="preserve">, לפי סעיף 348(ב) בנסיבות סעיפים 345(ב)(1) ו-345(א)(1) בחוק העונשין, תשל"ז-1977 (להלן: </w:t>
            </w:r>
            <w:r>
              <w:rPr>
                <w:rFonts w:hint="cs"/>
                <w:b/>
                <w:bCs/>
                <w:rtl/>
              </w:rPr>
              <w:t>החוק</w:t>
            </w:r>
            <w:r>
              <w:rPr>
                <w:rFonts w:hint="cs"/>
                <w:rtl/>
              </w:rPr>
              <w:t xml:space="preserve">) (באישום 1 ריבוי עבירות; באישום 5 שתי עבירות); </w:t>
            </w:r>
          </w:p>
          <w:p w:rsidR="00A959A2" w:rsidRDefault="00A959A2" w:rsidP="00A959A2">
            <w:pPr>
              <w:pStyle w:val="a"/>
              <w:numPr>
                <w:ilvl w:val="1"/>
                <w:numId w:val="1"/>
              </w:numPr>
              <w:tabs>
                <w:tab w:val="left" w:pos="720"/>
              </w:tabs>
              <w:ind w:left="1274" w:hanging="567"/>
              <w:jc w:val="both"/>
            </w:pPr>
            <w:r>
              <w:rPr>
                <w:rFonts w:hint="cs"/>
                <w:u w:val="single"/>
                <w:rtl/>
              </w:rPr>
              <w:lastRenderedPageBreak/>
              <w:t xml:space="preserve">באישום 6 </w:t>
            </w:r>
            <w:r>
              <w:rPr>
                <w:rFonts w:hint="cs"/>
                <w:rtl/>
              </w:rPr>
              <w:t xml:space="preserve">– </w:t>
            </w:r>
            <w:r>
              <w:rPr>
                <w:rFonts w:hint="cs"/>
                <w:b/>
                <w:bCs/>
                <w:rtl/>
              </w:rPr>
              <w:t>מעשה סדום בקטינה שטרם מלאו לה 16 שנים</w:t>
            </w:r>
            <w:r>
              <w:rPr>
                <w:rFonts w:hint="cs"/>
                <w:rtl/>
              </w:rPr>
              <w:t xml:space="preserve">, לפי סעיף 347(ב) יחד עם סעיפים 345(ב)(1) ו-345(א)(1) לחוק. </w:t>
            </w:r>
          </w:p>
          <w:p w:rsidR="00A959A2" w:rsidRDefault="00A959A2" w:rsidP="00A959A2">
            <w:pPr>
              <w:pStyle w:val="a"/>
              <w:numPr>
                <w:ilvl w:val="1"/>
                <w:numId w:val="1"/>
              </w:numPr>
              <w:tabs>
                <w:tab w:val="left" w:pos="720"/>
              </w:tabs>
              <w:ind w:left="1274" w:hanging="567"/>
              <w:jc w:val="both"/>
            </w:pPr>
            <w:r>
              <w:rPr>
                <w:rFonts w:hint="cs"/>
                <w:u w:val="single"/>
                <w:rtl/>
              </w:rPr>
              <w:t>באישומים 8-7</w:t>
            </w:r>
            <w:r>
              <w:rPr>
                <w:rFonts w:hint="cs"/>
                <w:rtl/>
              </w:rPr>
              <w:t xml:space="preserve"> - </w:t>
            </w:r>
            <w:r>
              <w:rPr>
                <w:rFonts w:hint="cs"/>
                <w:b/>
                <w:bCs/>
                <w:rtl/>
              </w:rPr>
              <w:t>מעשה מגונה בקטינה שטרם מלאו לה 16</w:t>
            </w:r>
            <w:r>
              <w:rPr>
                <w:rFonts w:hint="cs"/>
                <w:rtl/>
              </w:rPr>
              <w:t xml:space="preserve">, לפי סעיף 348(ב) בנסיבות סעיפים 345(ב)(1) ו-345(א)(1) בחוק; </w:t>
            </w:r>
            <w:r>
              <w:rPr>
                <w:rFonts w:hint="cs"/>
                <w:b/>
                <w:bCs/>
                <w:rtl/>
              </w:rPr>
              <w:t>ניסיון אינוס של קטינה שטרם מלאו לה 16 שנים</w:t>
            </w:r>
            <w:r>
              <w:rPr>
                <w:rFonts w:hint="cs"/>
                <w:rtl/>
              </w:rPr>
              <w:t xml:space="preserve">, לפי סעיף 345(ב)(1) יחד עם סעיפים 345(א)(1) ו-25 בחוק (באישום 7 – ריבוי עבירות). </w:t>
            </w:r>
          </w:p>
          <w:p w:rsidR="00A959A2" w:rsidRDefault="00A959A2" w:rsidP="00A959A2">
            <w:pPr>
              <w:pStyle w:val="a"/>
              <w:jc w:val="both"/>
            </w:pPr>
            <w:r>
              <w:rPr>
                <w:rFonts w:hint="cs"/>
                <w:rtl/>
              </w:rPr>
              <w:t xml:space="preserve">על-פי המתואר בעובדות כתב האישום, הנאשם הוא בן זוגה של סבתן של הקטינות נפגעות העבירה מזה למעלה מ-22 שנים. במהלך השנים 2018-2013 (להלן: </w:t>
            </w:r>
            <w:r>
              <w:rPr>
                <w:rFonts w:hint="cs"/>
                <w:b/>
                <w:bCs/>
                <w:rtl/>
              </w:rPr>
              <w:t>התקופה הרלוונטית</w:t>
            </w:r>
            <w:r>
              <w:rPr>
                <w:rFonts w:hint="cs"/>
                <w:rtl/>
              </w:rPr>
              <w:t xml:space="preserve">), במספר רב של הזדמנויות, שמועדיהן אינם ידועים במדויק, ביצע הנאשם </w:t>
            </w:r>
            <w:r>
              <w:rPr>
                <w:rFonts w:hint="cs"/>
                <w:b/>
                <w:bCs/>
                <w:rtl/>
              </w:rPr>
              <w:t>בקטינה א.א</w:t>
            </w:r>
            <w:r>
              <w:rPr>
                <w:rFonts w:hint="cs"/>
                <w:rtl/>
              </w:rPr>
              <w:t xml:space="preserve"> מעשים מגונים, ניסיון למעשה אינוס ומעשה סדום (בעת שהייתה בגיל 10-5); ובין השנים 2019-2017 במועדים שאינם ידועים במדויק, ביצע מעשים מגונים </w:t>
            </w:r>
            <w:r>
              <w:rPr>
                <w:rFonts w:hint="cs"/>
                <w:b/>
                <w:bCs/>
                <w:rtl/>
              </w:rPr>
              <w:t>בקטינה ח.ח</w:t>
            </w:r>
            <w:r>
              <w:rPr>
                <w:rFonts w:hint="cs"/>
                <w:rtl/>
              </w:rPr>
              <w:t xml:space="preserve"> (בעת שהייתה בגיל 5-3).  </w:t>
            </w:r>
          </w:p>
          <w:p w:rsidR="00A959A2" w:rsidRDefault="00A959A2" w:rsidP="00A959A2">
            <w:pPr>
              <w:pStyle w:val="a"/>
              <w:numPr>
                <w:ilvl w:val="0"/>
                <w:numId w:val="0"/>
              </w:numPr>
              <w:tabs>
                <w:tab w:val="left" w:pos="720"/>
              </w:tabs>
              <w:ind w:left="720"/>
              <w:jc w:val="both"/>
            </w:pPr>
            <w:r>
              <w:rPr>
                <w:rFonts w:hint="cs"/>
                <w:u w:val="single"/>
                <w:rtl/>
              </w:rPr>
              <w:t>על פי אישום 1</w:t>
            </w:r>
            <w:r>
              <w:rPr>
                <w:rFonts w:hint="cs"/>
                <w:rtl/>
              </w:rPr>
              <w:t xml:space="preserve"> (</w:t>
            </w:r>
            <w:r>
              <w:rPr>
                <w:rFonts w:hint="cs"/>
                <w:b/>
                <w:bCs/>
                <w:rtl/>
              </w:rPr>
              <w:t>חדר הכביסה</w:t>
            </w:r>
            <w:r>
              <w:rPr>
                <w:rFonts w:hint="cs"/>
                <w:rtl/>
              </w:rPr>
              <w:t xml:space="preserve">) – במהלך התקופה הרלוונטית, ישבו הנאשם והקטינה א.א בחצר ביתו של הנאשם כאשר בבית שהו בני משפחה נוספים ושוחחו. בהמשך הוביל הנאשם את א.א למחסן שבחצר הבית והושיבה על מכונת כביסה שעמדה במקום, הפשיל את מכנסיו ותחתוניו, חשף את איבר מינו והורה לא.א לגעת באיבר מינו. א.א נבהלה והנאשם לקח את ידה, הניחה על איבר מינו, שם את ידו על ידה ושפשף את איבר מינו באמצעות ידה של א.א. הנאשם חדל ממעשיו רק כאשר השניים נקראו לבית על ידי אחד מבני המשפחה, הרים את מכנסיו ותחתוניו ועשה עצמו מכניס בגדים למכונת הכביסה. האירוע המתואר חזר על עצמו מספר פעמים במהלך התקופה הרלוונטית. </w:t>
            </w:r>
          </w:p>
          <w:p w:rsidR="00A959A2" w:rsidRDefault="00A959A2" w:rsidP="00A959A2">
            <w:pPr>
              <w:pStyle w:val="a"/>
              <w:numPr>
                <w:ilvl w:val="0"/>
                <w:numId w:val="0"/>
              </w:numPr>
              <w:tabs>
                <w:tab w:val="left" w:pos="720"/>
              </w:tabs>
              <w:ind w:left="720"/>
              <w:jc w:val="both"/>
            </w:pPr>
            <w:r>
              <w:rPr>
                <w:rFonts w:hint="cs"/>
                <w:u w:val="single"/>
                <w:rtl/>
              </w:rPr>
              <w:t xml:space="preserve">על פי אישום 2 </w:t>
            </w:r>
            <w:r>
              <w:rPr>
                <w:rFonts w:hint="cs"/>
                <w:rtl/>
              </w:rPr>
              <w:t>(</w:t>
            </w:r>
            <w:r>
              <w:rPr>
                <w:rFonts w:hint="cs"/>
                <w:b/>
                <w:bCs/>
                <w:rtl/>
              </w:rPr>
              <w:t>הדפסת דפי הצביעה</w:t>
            </w:r>
            <w:r>
              <w:rPr>
                <w:rFonts w:hint="cs"/>
                <w:rtl/>
              </w:rPr>
              <w:t xml:space="preserve">) – במהלך התקופה הרלוונטית, שהתה א.א בבית הנאשם וסבתה, ולאחר שהנאשם סייע לה להדפיס דפי צביעה מהמחשב, התיישבה והחלה לצבוע את הדפים. באותה עת הנאשם נעמד מאחורי א.א, כשבטנו נשענת על הכיסא, ליטף את צווארה, הכניס ידו מתחת לחולצתה, נגע בחזה, מחץ ושחרר את חזה מספר פעמים. </w:t>
            </w:r>
          </w:p>
          <w:p w:rsidR="00A959A2" w:rsidRDefault="00A959A2" w:rsidP="00A959A2">
            <w:pPr>
              <w:pStyle w:val="a"/>
              <w:numPr>
                <w:ilvl w:val="0"/>
                <w:numId w:val="0"/>
              </w:numPr>
              <w:tabs>
                <w:tab w:val="left" w:pos="720"/>
              </w:tabs>
              <w:ind w:left="720"/>
              <w:jc w:val="both"/>
              <w:rPr>
                <w:rtl/>
              </w:rPr>
            </w:pPr>
            <w:r>
              <w:rPr>
                <w:rFonts w:hint="cs"/>
                <w:u w:val="single"/>
                <w:rtl/>
              </w:rPr>
              <w:t xml:space="preserve">על פי אישום 3 </w:t>
            </w:r>
            <w:r>
              <w:rPr>
                <w:rFonts w:hint="cs"/>
                <w:rtl/>
              </w:rPr>
              <w:t>(</w:t>
            </w:r>
            <w:r>
              <w:rPr>
                <w:rFonts w:hint="cs"/>
                <w:b/>
                <w:bCs/>
                <w:rtl/>
              </w:rPr>
              <w:t>סרטונים מיניים</w:t>
            </w:r>
            <w:r>
              <w:rPr>
                <w:rFonts w:hint="cs"/>
                <w:rtl/>
              </w:rPr>
              <w:t xml:space="preserve">) – במהלך התקופה הרלוונטית, שהתה א.א בחדרם של הנאשם וסבתה וצפתה בטלוויזיה. הנאשם פנה אליה והציע לה לראות דבר מה, אז הראה לה סרטון מיני ממכשיר הטלפון שלו בו נראו גבר ואישה עירומים, כשהגבר עומד, מרים את האישה ומכניס את איבר מינו לאיבר מינה. לאחר מכן הראה הנאשם לא.א סרטון מיני נוסף, הקטינה הפנתה את מבטה ממנו, והנאשם אמר לה שהוא רוצה שהם יעשו את שראו בסרטון. </w:t>
            </w:r>
          </w:p>
          <w:p w:rsidR="00A959A2" w:rsidRDefault="00A959A2" w:rsidP="00A959A2">
            <w:pPr>
              <w:pStyle w:val="a"/>
              <w:numPr>
                <w:ilvl w:val="0"/>
                <w:numId w:val="0"/>
              </w:numPr>
              <w:tabs>
                <w:tab w:val="left" w:pos="720"/>
              </w:tabs>
              <w:ind w:left="720"/>
              <w:jc w:val="both"/>
              <w:rPr>
                <w:rtl/>
              </w:rPr>
            </w:pPr>
            <w:r>
              <w:rPr>
                <w:rFonts w:hint="cs"/>
                <w:u w:val="single"/>
                <w:rtl/>
              </w:rPr>
              <w:t xml:space="preserve">על פי אישום 4 </w:t>
            </w:r>
            <w:r>
              <w:rPr>
                <w:rFonts w:hint="cs"/>
                <w:rtl/>
              </w:rPr>
              <w:t>(</w:t>
            </w:r>
            <w:r>
              <w:rPr>
                <w:rFonts w:hint="cs"/>
                <w:b/>
                <w:bCs/>
                <w:rtl/>
              </w:rPr>
              <w:t>הנסיעה לקופיקס</w:t>
            </w:r>
            <w:r>
              <w:rPr>
                <w:rFonts w:hint="cs"/>
                <w:rtl/>
              </w:rPr>
              <w:t xml:space="preserve">) – במהלך התקופה הרלוונטית, שהו הנאשם וא.א בבית הנאשם וסבתה יחד עם משפחתה של א.א. הנאשם הציע לא.א להתלוות אליו בנסיעה ל"קופיקס" וזו נענתה וישבה במושב הקדמי של הרכב. במהלך הנסיעה, נגע הנאשם באיבר מינה של א.א מעל למכנסיה תוך שהוא עולה ויורד עם אצבעו על איבר מינה. </w:t>
            </w:r>
          </w:p>
          <w:p w:rsidR="00A959A2" w:rsidRDefault="00A959A2" w:rsidP="00A959A2">
            <w:pPr>
              <w:pStyle w:val="a"/>
              <w:numPr>
                <w:ilvl w:val="0"/>
                <w:numId w:val="0"/>
              </w:numPr>
              <w:tabs>
                <w:tab w:val="left" w:pos="720"/>
              </w:tabs>
              <w:ind w:left="720"/>
              <w:jc w:val="both"/>
              <w:rPr>
                <w:rtl/>
              </w:rPr>
            </w:pPr>
            <w:r>
              <w:rPr>
                <w:rFonts w:hint="cs"/>
                <w:u w:val="single"/>
                <w:rtl/>
              </w:rPr>
              <w:t xml:space="preserve">על פי אישום 5 </w:t>
            </w:r>
            <w:r>
              <w:rPr>
                <w:rFonts w:hint="cs"/>
                <w:rtl/>
              </w:rPr>
              <w:t>(</w:t>
            </w:r>
            <w:r>
              <w:rPr>
                <w:rFonts w:hint="cs"/>
                <w:b/>
                <w:bCs/>
                <w:rtl/>
              </w:rPr>
              <w:t>המקלחת</w:t>
            </w:r>
            <w:r>
              <w:rPr>
                <w:rFonts w:hint="cs"/>
                <w:rtl/>
              </w:rPr>
              <w:t xml:space="preserve">) – במהלך התקופה הרלוונטית, שהתה הקטינה בבית הנאשם וסבתה, ונכנסה להתקלח. הנאשם נכנס לחדר הרחצה וצפה בה מתקלחת והורה לה לפסק את רגליה וא.א עשתה כדברו. במועד אחר, נכנס </w:t>
            </w:r>
            <w:r>
              <w:rPr>
                <w:rFonts w:hint="cs"/>
                <w:rtl/>
              </w:rPr>
              <w:lastRenderedPageBreak/>
              <w:t xml:space="preserve">נאשם לחדר הרחצה בעת שא.א התקלחה, בתגובה א.א ניסתה להסתיר את איברי גופה. הנאשם התבונן בה ואמר "מה את מסתירה?" ויצא מהחדר. </w:t>
            </w:r>
          </w:p>
          <w:p w:rsidR="00A959A2" w:rsidRDefault="00A959A2" w:rsidP="00A959A2">
            <w:pPr>
              <w:pStyle w:val="a"/>
              <w:numPr>
                <w:ilvl w:val="0"/>
                <w:numId w:val="0"/>
              </w:numPr>
              <w:tabs>
                <w:tab w:val="left" w:pos="720"/>
              </w:tabs>
              <w:ind w:left="720"/>
              <w:jc w:val="both"/>
              <w:rPr>
                <w:rtl/>
              </w:rPr>
            </w:pPr>
            <w:r>
              <w:rPr>
                <w:rFonts w:hint="cs"/>
                <w:u w:val="single"/>
                <w:rtl/>
              </w:rPr>
              <w:t xml:space="preserve">על פי אישום 6 </w:t>
            </w:r>
            <w:r>
              <w:rPr>
                <w:rFonts w:hint="cs"/>
                <w:rtl/>
              </w:rPr>
              <w:t>(</w:t>
            </w:r>
            <w:r>
              <w:rPr>
                <w:rFonts w:hint="cs"/>
                <w:b/>
                <w:bCs/>
                <w:rtl/>
              </w:rPr>
              <w:t>הטלוויזיה</w:t>
            </w:r>
            <w:r>
              <w:rPr>
                <w:rFonts w:hint="cs"/>
                <w:rtl/>
              </w:rPr>
              <w:t>) – במהלך התקופה הרלוונטית שהו הנאשם, א.א ואחיה הקטין (יליד 2009) בבית הנאשם, שכבו שלושתם במיטתו של הנאשם וצפו בטלוויזיה. הנאשם המתין עד שהאח יירדם, פתח את חגורת מכנסיו והורה לא.א להיכנס מתחת לשמיכה ולהכניס את איבר מינו לפיה. א.א נבהלה ואמרה לו שזה מגעיל ויש הרבה חיידקים. הנאשם הרגיע אותה שלא כך הדבר והורה לה לעשות את שביקש. בתגובה נכנסה א.א מתחת לשמיכה והנאשם החדיר את איבר מינו לפיה.</w:t>
            </w:r>
          </w:p>
          <w:p w:rsidR="00A959A2" w:rsidRDefault="00A959A2" w:rsidP="00A959A2">
            <w:pPr>
              <w:pStyle w:val="a"/>
              <w:numPr>
                <w:ilvl w:val="0"/>
                <w:numId w:val="0"/>
              </w:numPr>
              <w:tabs>
                <w:tab w:val="left" w:pos="720"/>
              </w:tabs>
              <w:ind w:left="720"/>
              <w:jc w:val="both"/>
              <w:rPr>
                <w:rtl/>
              </w:rPr>
            </w:pPr>
            <w:r>
              <w:rPr>
                <w:rFonts w:hint="cs"/>
                <w:u w:val="single"/>
                <w:rtl/>
              </w:rPr>
              <w:t xml:space="preserve">על פי אישום 7 </w:t>
            </w:r>
            <w:r>
              <w:rPr>
                <w:rFonts w:hint="cs"/>
                <w:rtl/>
              </w:rPr>
              <w:t>(</w:t>
            </w:r>
            <w:r>
              <w:rPr>
                <w:rFonts w:hint="cs"/>
                <w:b/>
                <w:bCs/>
                <w:rtl/>
              </w:rPr>
              <w:t>במיטת הנאשם והסבתא</w:t>
            </w:r>
            <w:r>
              <w:rPr>
                <w:rFonts w:hint="cs"/>
                <w:rtl/>
              </w:rPr>
              <w:t xml:space="preserve">) – במהלך התקופה הרלוונטית במספר רב מאוד של הזדמנויות שמועדן אינו ידוע במדויק, עת שכבו הנאשם, הסבתא וא.א לישון במיטתם של הנאשם והסבתא – כאשר א.א שוכבת ביניהם, המתין הנאשם עד שהסבתא תירדם, נגע הנאשם באיבר מינה של א.א מעל מכנסיה והכניס את ידו מתחת לתחתוניה. הנאשם פתח עם אצבעותיו את איבר מינה של א.א, ונגע באצבעו באיבר מינה, תוך שהעביר את אצבעו מעלה ומטה על איבר מינה. בהמשך הסיר את מכנסיו ותחתוניו והפשיט את מכנסיה ותחתוניה של א.א, הורה לה לגעת באיבר מינו והיא עשתה כן. במקרים בהם לא עשתה כהוראתו, נטל הנאשם את ידה והניחה על איבר מינו. כמו כן השכיב את א.א עליו כאשר הוא שוכב על גבו והזיזה כך שגופה התחכך בגופו. </w:t>
            </w:r>
          </w:p>
          <w:p w:rsidR="00A959A2" w:rsidRDefault="00A959A2" w:rsidP="00A959A2">
            <w:pPr>
              <w:pStyle w:val="a"/>
              <w:numPr>
                <w:ilvl w:val="0"/>
                <w:numId w:val="0"/>
              </w:numPr>
              <w:tabs>
                <w:tab w:val="left" w:pos="720"/>
              </w:tabs>
              <w:ind w:left="720"/>
              <w:jc w:val="both"/>
              <w:rPr>
                <w:rtl/>
              </w:rPr>
            </w:pPr>
            <w:r>
              <w:rPr>
                <w:rFonts w:hint="cs"/>
                <w:rtl/>
              </w:rPr>
              <w:t>הנאשם ניסה להחדיר את איבר מינו לתוך איבר מינה של א.א כאשר הוא אוחז בידו את איבר מינו ומכוון אותו לתוך איבר מינה ומנסה להחדירו. הנאשם הורה לקטינה לזוז או שהיה מזיזה בעצמו, לעיתים הפך אותה על גבה ורכן עליה וזאת בניסיון להצליח להחדיר את איבר מינו לאיבר מינה.</w:t>
            </w:r>
          </w:p>
          <w:p w:rsidR="00A959A2" w:rsidRDefault="00A959A2" w:rsidP="00A959A2">
            <w:pPr>
              <w:pStyle w:val="a"/>
              <w:numPr>
                <w:ilvl w:val="0"/>
                <w:numId w:val="0"/>
              </w:numPr>
              <w:tabs>
                <w:tab w:val="left" w:pos="720"/>
              </w:tabs>
              <w:ind w:left="720"/>
              <w:jc w:val="both"/>
              <w:rPr>
                <w:rtl/>
              </w:rPr>
            </w:pPr>
            <w:r>
              <w:rPr>
                <w:rFonts w:hint="cs"/>
                <w:rtl/>
              </w:rPr>
              <w:t xml:space="preserve">בחלק מהאירועים המתוארים א.א חשה כאב ונעה באי נוחות. במהלך שניים מהאירועים המתוארים, נישק הנאשם את א.א בפיה למשך זמן ממושך. באחד האירועים שאירע בשלהי התקופה הרלוונטית, כאשר שכבה א.א בין הנאשם לבין סבתה והנאשם נגע באיבר מינה, צבטה א.א את סבתה מספר פעמים בניסיון להעירה אולם ללא הצלחה. </w:t>
            </w:r>
          </w:p>
          <w:p w:rsidR="00A959A2" w:rsidRDefault="00A959A2" w:rsidP="00A959A2">
            <w:pPr>
              <w:pStyle w:val="a"/>
              <w:numPr>
                <w:ilvl w:val="0"/>
                <w:numId w:val="0"/>
              </w:numPr>
              <w:tabs>
                <w:tab w:val="left" w:pos="720"/>
              </w:tabs>
              <w:ind w:left="720"/>
              <w:jc w:val="both"/>
              <w:rPr>
                <w:rtl/>
              </w:rPr>
            </w:pPr>
            <w:r>
              <w:rPr>
                <w:rFonts w:hint="cs"/>
                <w:u w:val="single"/>
                <w:rtl/>
              </w:rPr>
              <w:t>על פי אישום 8</w:t>
            </w:r>
            <w:r>
              <w:rPr>
                <w:rFonts w:hint="cs"/>
                <w:rtl/>
              </w:rPr>
              <w:t xml:space="preserve"> (</w:t>
            </w:r>
            <w:r>
              <w:rPr>
                <w:rFonts w:hint="cs"/>
                <w:b/>
                <w:bCs/>
                <w:rtl/>
              </w:rPr>
              <w:t>בביתה של א.א</w:t>
            </w:r>
            <w:r>
              <w:rPr>
                <w:rFonts w:hint="cs"/>
                <w:rtl/>
              </w:rPr>
              <w:t xml:space="preserve">) – בתקופה הרלוונטית השגיח הנאשם על א.א ועל אחֶיה הקטינים בביתה של א.א, כאשר הוריה לא נכחו בבית. לאחר שאחיה הלכו לישון, קרא הנאשם לא.א לבוא לשבת עמו והיא שבה לסלון וצפתה בטלוויזיה. כעבור מספר דקות, התקרב אליה הנאשם ונגע באיבר מינה מעל למכנסיה. בהמשך הכניס ידו מתחת למכנסיה של א.א והיא אמרה לו שיש לה דלקת וזאת כדי שיחדל ממעשיו, קמה ממקומה והלכה לצפות בטלוויזיה בחדרה. כעבור שעה, נכנס הנאשם לחדרה של א.א, פשט את מכנסיו ותחתוניו והורה לא.א להתפשט והיא עשתה כן. בהמשך נשכב הנאשם על המיטה, השכיב את א.א עליו וניסה להחדיר את איבר מינו לתוך איבר מינה תוך שהוא מכוון את איבר מינו בידו. בשלב כלשהו הורה לא.א לשכב על גבה, נשכב עליה וניסה בשנית להחדיר את איבר מינו לאיבר מינה. בתום האירוע המתואר, נתן הנאשם לא.א שטר של 20 ₪. </w:t>
            </w:r>
          </w:p>
          <w:p w:rsidR="00A959A2" w:rsidRDefault="00A959A2" w:rsidP="00A959A2">
            <w:pPr>
              <w:pStyle w:val="a"/>
              <w:numPr>
                <w:ilvl w:val="0"/>
                <w:numId w:val="0"/>
              </w:numPr>
              <w:tabs>
                <w:tab w:val="left" w:pos="720"/>
              </w:tabs>
              <w:ind w:left="720"/>
              <w:jc w:val="both"/>
              <w:rPr>
                <w:rtl/>
              </w:rPr>
            </w:pPr>
            <w:r>
              <w:rPr>
                <w:rFonts w:hint="cs"/>
                <w:u w:val="single"/>
                <w:rtl/>
              </w:rPr>
              <w:t>על פי אישום 9</w:t>
            </w:r>
            <w:r>
              <w:rPr>
                <w:rFonts w:hint="cs"/>
                <w:rtl/>
              </w:rPr>
              <w:t xml:space="preserve"> (</w:t>
            </w:r>
            <w:r>
              <w:rPr>
                <w:rFonts w:hint="cs"/>
                <w:b/>
                <w:bCs/>
                <w:rtl/>
              </w:rPr>
              <w:t>בעניין ח.ח</w:t>
            </w:r>
            <w:r>
              <w:rPr>
                <w:rFonts w:hint="cs"/>
                <w:rtl/>
              </w:rPr>
              <w:t xml:space="preserve">) – בין השנים 2019-2017 במספר הזדמנויות במועדים שאינם ידועים במדויק, הורה הנאשם לח.ח לעשות לו עיסוי בבטנו. הנאשם נשכב על גבו, השכיב את ח.ח על גופו, אחז במותניה ונענע אותה כך שגופו התחכך בגופה בתנועת שפשוף. במהלך מעשיו, עצם הנאשם את עיניו והשמיע קולות הנאה וסיפוק. באחת הפעמים אמרה ח.ח לנאשם כי מעשיו אינם נעימים לה וכי היא תגדל בקרוב. </w:t>
            </w:r>
          </w:p>
          <w:p w:rsidR="00A959A2" w:rsidRDefault="00A959A2" w:rsidP="00A959A2">
            <w:pPr>
              <w:pStyle w:val="ae"/>
              <w:spacing w:after="120" w:line="360" w:lineRule="auto"/>
              <w:ind w:left="509" w:hanging="567"/>
              <w:jc w:val="both"/>
              <w:rPr>
                <w:rFonts w:ascii="David" w:hAnsi="David" w:cs="David"/>
                <w:b/>
                <w:bCs/>
                <w:sz w:val="24"/>
                <w:szCs w:val="24"/>
                <w:u w:val="single"/>
                <w:rtl/>
              </w:rPr>
            </w:pPr>
            <w:r>
              <w:rPr>
                <w:rFonts w:ascii="David" w:hAnsi="David" w:cs="David"/>
                <w:b/>
                <w:bCs/>
                <w:sz w:val="24"/>
                <w:szCs w:val="24"/>
                <w:u w:val="single"/>
                <w:rtl/>
              </w:rPr>
              <w:lastRenderedPageBreak/>
              <w:t>תשובת הנאשם לכתב האישום ויריעת המחלוקת</w:t>
            </w:r>
          </w:p>
          <w:p w:rsidR="00A959A2" w:rsidRDefault="00A959A2" w:rsidP="00A959A2">
            <w:pPr>
              <w:pStyle w:val="a"/>
              <w:jc w:val="both"/>
              <w:rPr>
                <w:rtl/>
              </w:rPr>
            </w:pPr>
            <w:r>
              <w:rPr>
                <w:rFonts w:hint="cs"/>
                <w:rtl/>
              </w:rPr>
              <w:t xml:space="preserve">הנאשם כפר במיוחס לו בכתב האישום. שלל כל מעשה מיני מצדו כלפי א.א וח.ח. כן טען כי כאשר א.א ישנה במיטתו, הסבתא ישנה במרכז המיטה וא.א ישנה לצידה. במקרים בהם עמדה א.א ליפול מהמיטה, הסבתא העבירה אותה למרכז המיטה, בינה לבין הנאשם. באשר לאישום התשיעי, ח.ח הייתה לעיתים קופצת על בטנו וגבו כאשר הם היו ביחד עם הסבתא. ב"כ הנאשם טען כי כתב האישום נעדר פירוט מספק מבחינת הזמנים וכתובות המגורים שבהם לפי הנטען בוצעו המעשים, כך שיש קושי להתייחס לאמור בו באופן מדויק. בכל הנוגע למניע להגשת התלונה, שהיא תלונת שווא לטענת הנאשם, טען ב"כ הנאשם לסכסוך שאירע בתקופת הגשת התלונה בין הנאשם לבין הסבתא, אשר הוביל גם לוויכוח עם אימה של א.א. </w:t>
            </w:r>
          </w:p>
          <w:p w:rsidR="00A959A2" w:rsidRDefault="00A959A2" w:rsidP="00A959A2">
            <w:pPr>
              <w:pStyle w:val="ae"/>
              <w:spacing w:after="120" w:line="360" w:lineRule="auto"/>
              <w:ind w:left="509" w:hanging="567"/>
              <w:jc w:val="both"/>
              <w:rPr>
                <w:rFonts w:ascii="David" w:hAnsi="David" w:cs="David"/>
                <w:b/>
                <w:bCs/>
                <w:sz w:val="24"/>
                <w:szCs w:val="24"/>
                <w:u w:val="single"/>
                <w:rtl/>
              </w:rPr>
            </w:pPr>
            <w:r>
              <w:rPr>
                <w:rFonts w:ascii="David" w:hAnsi="David" w:cs="David"/>
                <w:b/>
                <w:bCs/>
                <w:sz w:val="24"/>
                <w:szCs w:val="24"/>
                <w:u w:val="single"/>
                <w:rtl/>
              </w:rPr>
              <w:t>מהלך המשפט</w:t>
            </w:r>
          </w:p>
          <w:p w:rsidR="00A959A2" w:rsidRDefault="00A959A2" w:rsidP="00A959A2">
            <w:pPr>
              <w:pStyle w:val="a"/>
              <w:jc w:val="both"/>
              <w:rPr>
                <w:b/>
                <w:bCs/>
                <w:u w:val="single"/>
              </w:rPr>
            </w:pPr>
            <w:r>
              <w:rPr>
                <w:rFonts w:hint="cs"/>
                <w:rtl/>
              </w:rPr>
              <w:t xml:space="preserve">מטעם המאשימה העידו המתלוננת א.א, אימה, דודתה, חוקרת הילדים שחקרה את א.א, וכן חוקרת הילדים אשר חקרה את ח.ח, וחוקר המשטרה אשר ריכז את החקירה. כמו כן הוגשו במסגרת פרשת התביעה הודעות הנאשם, חקירות הילדים ועוד. מטעם ההגנה העיד הנאשם והעידה סבתה של א.א. </w:t>
            </w:r>
          </w:p>
          <w:p w:rsidR="00A959A2" w:rsidRDefault="00A959A2" w:rsidP="00A959A2">
            <w:pPr>
              <w:pStyle w:val="a"/>
              <w:numPr>
                <w:ilvl w:val="0"/>
                <w:numId w:val="0"/>
              </w:numPr>
              <w:tabs>
                <w:tab w:val="left" w:pos="720"/>
              </w:tabs>
              <w:ind w:left="720" w:hanging="720"/>
              <w:rPr>
                <w:b/>
                <w:bCs/>
                <w:rtl/>
              </w:rPr>
            </w:pPr>
            <w:r>
              <w:rPr>
                <w:rFonts w:hint="cs"/>
                <w:b/>
                <w:bCs/>
                <w:u w:val="single"/>
                <w:rtl/>
              </w:rPr>
              <w:t>טיעוני המאשימה</w:t>
            </w:r>
          </w:p>
          <w:p w:rsidR="00A959A2" w:rsidRDefault="00A959A2" w:rsidP="00A959A2">
            <w:pPr>
              <w:pStyle w:val="a"/>
              <w:jc w:val="both"/>
            </w:pPr>
            <w:r>
              <w:rPr>
                <w:rFonts w:hint="cs"/>
                <w:rtl/>
              </w:rPr>
              <w:t xml:space="preserve">ב"כ המאשימה, עו"ד אפרת פאר, טענה בסיכומיה כי הנאשם מכחיש לחלוטין את המעשים המיוחסים לו, מוסר מספר הסברים שלשיטתו תומכים בגרסתו: חוסר יכולתו הפיזית והיעדר הזדמנויות לבצע את המעשים כיוון שלא היה לבד עם א.א או עם ח.ח; באשר למניע להגשת התלונה, הנאשם טען שמדובר בעלילת שווא על רקע סכסוכים שהיו לו עם בת זוגו, הסבתא. מדובר בגרסה כבושה של הנאשם מאחר שטען זאת לראשונה רק בעדותו בבית המשפט והתייחס לכך בשולי המענה לכתב האישום, אך לא אמר על כך דבר במשטרה. </w:t>
            </w:r>
          </w:p>
          <w:p w:rsidR="00A959A2" w:rsidRDefault="00A959A2" w:rsidP="00A959A2">
            <w:pPr>
              <w:pStyle w:val="a"/>
              <w:numPr>
                <w:ilvl w:val="0"/>
                <w:numId w:val="0"/>
              </w:numPr>
              <w:tabs>
                <w:tab w:val="left" w:pos="720"/>
              </w:tabs>
              <w:ind w:left="720"/>
              <w:jc w:val="both"/>
              <w:rPr>
                <w:rtl/>
              </w:rPr>
            </w:pPr>
            <w:r>
              <w:rPr>
                <w:rFonts w:hint="cs"/>
                <w:rtl/>
              </w:rPr>
              <w:t xml:space="preserve">אימן של הקטינות (להלן: </w:t>
            </w:r>
            <w:r>
              <w:rPr>
                <w:rFonts w:hint="cs"/>
                <w:b/>
                <w:bCs/>
                <w:rtl/>
              </w:rPr>
              <w:t>האֵם</w:t>
            </w:r>
            <w:r>
              <w:rPr>
                <w:rFonts w:hint="cs"/>
                <w:rtl/>
              </w:rPr>
              <w:t xml:space="preserve">) העידה שהנאשם היה עבורה כאָב לכל דבר, היא אהבה אותו, והיחסים ביניהם היו טובים. כאשר הסבתא והנאשם רבו, כמו זוגות רבים, עזרה האֵם להשלים ביניהם. א.א העידה שלא חשפה את הדברים קודם, כי ידעה שהמשפחה אוהבת אותו ולא רצתה לגרום לפירוק המשפחה, וכיוון שהיו מאוד קרובים אליו חששה שלא יאמינו לה. הנאשם היה כסב עבורה. לכן, תחילה א.א סיפרה לחברותיה, ורק לאחר מכן לאימה. הקשר הטוב של המשפחה עם הנאשם מסביר את השיהוי בן 3 השנים בחשיפת הפגיעה. א.א העידה שרק בשלב מאוחר, ולאחר שחבריה לכיתה החלו לדבר על איך מביאים ילדים לעולם, הבינה שמשהו אינו בסדר. הנאשם היה מפנק אותה בדברים קטנים שהיא אוהבת וא.א ידעה שאחרי שהיה מבצע את מעשיו, היא מקבלת משהו. רק לאחר התהליך שהיא עברה, החקירות והבדיקה הרפואית, היא הבינה את חומרת המעשים. </w:t>
            </w:r>
          </w:p>
          <w:p w:rsidR="00A959A2" w:rsidRDefault="00A959A2" w:rsidP="00A959A2">
            <w:pPr>
              <w:pStyle w:val="a"/>
              <w:numPr>
                <w:ilvl w:val="0"/>
                <w:numId w:val="0"/>
              </w:numPr>
              <w:tabs>
                <w:tab w:val="left" w:pos="720"/>
              </w:tabs>
              <w:ind w:left="720"/>
              <w:jc w:val="both"/>
              <w:rPr>
                <w:rtl/>
              </w:rPr>
            </w:pPr>
            <w:r>
              <w:rPr>
                <w:rFonts w:hint="cs"/>
                <w:rtl/>
              </w:rPr>
              <w:t xml:space="preserve">א.א ילידת 2008, העידה בבית המשפט ומעדותה עולים תיאורים מפורטים ואותנטיים עם מאפיינים ייחודיים לכל אירוע, תיאורים מיניים שילדה בגילה אינה אמורה לדעת. היא תיארה איך הנאשם ניצל הזדמנויות שהוריה אינם, שסבתה נרדמה, או שהייתה בחו"ל, שאחיה נרדם וכו', ניצל את זמינותה ואת קרבתו אליה. היא מתארת את האירועים במילים שלה, ואינה נותנת פרשנות למעשים, אלא מספרת את הדברים כהווייתם. לעניין החשיפה, א.א סיפרה על מעשיו של הנאשם קודם כל לחברותיה, שאחת מהן דחקה בה לספר לאימה, והיא עשתה כן על אף שהייתה נבוכה והתביישה. בשלב זה של העדות א.א בכתה. </w:t>
            </w:r>
          </w:p>
          <w:p w:rsidR="00A959A2" w:rsidRDefault="00A959A2" w:rsidP="00A959A2">
            <w:pPr>
              <w:pStyle w:val="a"/>
              <w:numPr>
                <w:ilvl w:val="0"/>
                <w:numId w:val="0"/>
              </w:numPr>
              <w:tabs>
                <w:tab w:val="left" w:pos="720"/>
              </w:tabs>
              <w:ind w:left="720"/>
              <w:jc w:val="both"/>
              <w:rPr>
                <w:rtl/>
              </w:rPr>
            </w:pPr>
            <w:r>
              <w:rPr>
                <w:rFonts w:hint="cs"/>
                <w:rtl/>
              </w:rPr>
              <w:lastRenderedPageBreak/>
              <w:t xml:space="preserve">באשר לסוגיית החגורה בעדות של א.א, היא העידה שיש לה זיכרון שהנאשם עם חגורה אבל היא לא הייתה משוכנעת בכך. היא הייתה רגילה לראות את הנאשם עם חגורה, ולכן יתכן ששגתה כשמסרה שהיה עם חגורה במיטה. גם חוקרת הילדים סברה שאין בכך כדי לפגוע במהימנותה של א.א. </w:t>
            </w:r>
          </w:p>
          <w:p w:rsidR="00A959A2" w:rsidRDefault="00A959A2" w:rsidP="00A959A2">
            <w:pPr>
              <w:pStyle w:val="a"/>
              <w:numPr>
                <w:ilvl w:val="0"/>
                <w:numId w:val="0"/>
              </w:numPr>
              <w:tabs>
                <w:tab w:val="left" w:pos="720"/>
              </w:tabs>
              <w:ind w:left="720"/>
              <w:jc w:val="both"/>
              <w:rPr>
                <w:rtl/>
              </w:rPr>
            </w:pPr>
            <w:r>
              <w:rPr>
                <w:rFonts w:hint="cs"/>
                <w:rtl/>
              </w:rPr>
              <w:t xml:space="preserve">באירוע שבאישום השמיני, נגע הנאשם באיבר מינה מתחת לתחתוניה, וא.א אמרה לו שיש לה דלקת ושזה כואב לה אז הוא הפסיק. מכאן ניתן ללמוד על התושייה של א.א שעל אף גילה הצעיר (גיל 9) היא נקטה בפעולה שהפסיקה את האירוע. באותו הערב, אחרי שהלכה לישון, הנאשם הגיע לחדרה, הוריד את מכנסיו ואת מכנסיה, עלה עליה וניסה להחדיר את איבר מינו לאיבר מינה. לאחר מכן הנאשם נתן לה 20 ₪, ובאותו מועד היא לא הבינה מדוע הנאשם נתן לה כסף. </w:t>
            </w:r>
          </w:p>
          <w:p w:rsidR="00A959A2" w:rsidRDefault="00A959A2" w:rsidP="00A959A2">
            <w:pPr>
              <w:pStyle w:val="a"/>
              <w:numPr>
                <w:ilvl w:val="0"/>
                <w:numId w:val="0"/>
              </w:numPr>
              <w:tabs>
                <w:tab w:val="left" w:pos="720"/>
              </w:tabs>
              <w:ind w:left="720"/>
              <w:jc w:val="both"/>
              <w:rPr>
                <w:rtl/>
              </w:rPr>
            </w:pPr>
            <w:r>
              <w:rPr>
                <w:rFonts w:hint="cs"/>
                <w:rtl/>
              </w:rPr>
              <w:t>באשר למעשים שביצע הנאשם בא.א עת ישנה בינו לבין סבתה במיטה, האם העידה כי הסבתא ישנה מאוד עמוק, ואף הייתה אף נרדמת בביתם בעוד 4 ילדים מתרוצצים סביבה. בנוסף, הסבתא אישרה שא.א הייתה ישנה במיטה שלה ושל הנאשם, וכי הייתה מעבירה אותה לאמצע המיטה, כדי שלא תיפול. אימה של א.א שללה כל סכסוך במשפחה שיכול היה להשפיע על א.א להתלונן לשווא על הנאשם. היא סיפרה על ריב נקודתי בין הסבתא לבין הנאשם, שלאחריו השלימו.</w:t>
            </w:r>
          </w:p>
          <w:p w:rsidR="00A959A2" w:rsidRDefault="00A959A2" w:rsidP="00A959A2">
            <w:pPr>
              <w:pStyle w:val="a"/>
              <w:numPr>
                <w:ilvl w:val="0"/>
                <w:numId w:val="0"/>
              </w:numPr>
              <w:tabs>
                <w:tab w:val="left" w:pos="720"/>
              </w:tabs>
              <w:ind w:left="720"/>
              <w:jc w:val="both"/>
            </w:pPr>
            <w:r>
              <w:rPr>
                <w:rFonts w:hint="cs"/>
                <w:rtl/>
              </w:rPr>
              <w:t xml:space="preserve">לגבי מצבה הנפשי של א.א, אימה העידה שא.א מרטה לעצמה שיערות מהגבות והייתה תקופה שהיא התבודדה, האם סברה אז שזה נובע מעניינים אחרים. באשר לחשיפת המקרים, א.א חששה לסבתה שתישאר לבד וחשבה לחכות עד שהנאשם ימות כדי לשתף מישהו בנושא. האֵם העידה על כך שא.א זוכרת את האירועים לפי הבתים שבהם אירעו, וסיפרה על האירועים לפרטי פרטים מבחינת אופן ביצוע העבירה. </w:t>
            </w:r>
          </w:p>
          <w:p w:rsidR="00A959A2" w:rsidRDefault="00A959A2" w:rsidP="00A959A2">
            <w:pPr>
              <w:pStyle w:val="a"/>
              <w:numPr>
                <w:ilvl w:val="0"/>
                <w:numId w:val="0"/>
              </w:numPr>
              <w:tabs>
                <w:tab w:val="left" w:pos="720"/>
              </w:tabs>
              <w:ind w:left="720"/>
              <w:jc w:val="both"/>
              <w:rPr>
                <w:rtl/>
              </w:rPr>
            </w:pPr>
            <w:r>
              <w:rPr>
                <w:rFonts w:hint="cs"/>
                <w:rtl/>
              </w:rPr>
              <w:t>דודתה של א.א, העידה על מצבה הנפשי של א.א כשהיא סיפרה לה על מעשי הנאשם, בעת שהמתינו לחקירתה בבית לין. א.א נראתה מבוהלת ומפוחדת, התביישה לספר. הדודה העידה אף היא שא.א מרטה שערות מגבותיה.</w:t>
            </w:r>
          </w:p>
          <w:p w:rsidR="00A959A2" w:rsidRDefault="00A959A2" w:rsidP="00A959A2">
            <w:pPr>
              <w:pStyle w:val="a"/>
              <w:numPr>
                <w:ilvl w:val="0"/>
                <w:numId w:val="0"/>
              </w:numPr>
              <w:tabs>
                <w:tab w:val="left" w:pos="720"/>
              </w:tabs>
              <w:ind w:left="720"/>
              <w:jc w:val="both"/>
              <w:rPr>
                <w:rtl/>
              </w:rPr>
            </w:pPr>
            <w:r>
              <w:rPr>
                <w:rFonts w:hint="cs"/>
                <w:rtl/>
              </w:rPr>
              <w:t>לעניין האירוע המוחי שעבר הנאשם, אימה של א.א העידה שהנאשם לא הפסיק לתפקד אחרי האירוע המוחי, והמשיך לעבוד עם הסבתא בניקוי משרדים. בנוסף, הנאשם העיד וניתן היה להתרשם שמצבו הפיזי תקין, ואינו כזה שמונע ממנו לבצע את המעשים המיוחסים לו.</w:t>
            </w:r>
          </w:p>
          <w:p w:rsidR="00A959A2" w:rsidRDefault="00A959A2" w:rsidP="00A959A2">
            <w:pPr>
              <w:pStyle w:val="a"/>
              <w:numPr>
                <w:ilvl w:val="0"/>
                <w:numId w:val="0"/>
              </w:numPr>
              <w:tabs>
                <w:tab w:val="left" w:pos="720"/>
              </w:tabs>
              <w:ind w:left="720"/>
              <w:jc w:val="both"/>
              <w:rPr>
                <w:rtl/>
              </w:rPr>
            </w:pPr>
            <w:r>
              <w:rPr>
                <w:rFonts w:hint="cs"/>
                <w:rtl/>
              </w:rPr>
              <w:t xml:space="preserve">האֵם העידה שא.א תמיד ישנה באמצע המיטה, בין הסבתא לנאשם, בכל הבתים שלהם. הייתה הולכת לישון בצד המיטה, והסבתא הייתה מעבירה אותה לאמצע כדי שלא תיפול. </w:t>
            </w:r>
          </w:p>
          <w:p w:rsidR="00A959A2" w:rsidRDefault="00A959A2" w:rsidP="00A959A2">
            <w:pPr>
              <w:pStyle w:val="a"/>
              <w:numPr>
                <w:ilvl w:val="0"/>
                <w:numId w:val="0"/>
              </w:numPr>
              <w:tabs>
                <w:tab w:val="left" w:pos="720"/>
              </w:tabs>
              <w:ind w:left="720"/>
              <w:jc w:val="both"/>
              <w:rPr>
                <w:rtl/>
              </w:rPr>
            </w:pPr>
            <w:r>
              <w:rPr>
                <w:rFonts w:hint="cs"/>
                <w:rtl/>
              </w:rPr>
              <w:t xml:space="preserve">חוקרת הילדים העידה על המהימנות של א.א, וציינה כי א.א הקפידה מאוד בתיאוריה, דייקה בהם, ועיגנה אותם בנסיבות ובמקום. א.א הייתה בת 13 כאשר נחקרה ע"י חוקרת הילדים, היא סיפרה שהנאשם ניסה לעשות מעשה כמו שמביאים ילדים לעולם, ובשלב שבו חבריה התחילו לדבר על הנושא היא החלה להבין את חומרת האירועים. בנוסף, א.א ביצעה הדגמות ספונטניות במהלך חקירת הילדים, דבר המחזק את מהימנותה. </w:t>
            </w:r>
          </w:p>
          <w:p w:rsidR="00A959A2" w:rsidRDefault="00A959A2" w:rsidP="00A959A2">
            <w:pPr>
              <w:pStyle w:val="a"/>
              <w:numPr>
                <w:ilvl w:val="0"/>
                <w:numId w:val="0"/>
              </w:numPr>
              <w:tabs>
                <w:tab w:val="left" w:pos="720"/>
              </w:tabs>
              <w:ind w:left="720"/>
              <w:jc w:val="both"/>
              <w:rPr>
                <w:rtl/>
              </w:rPr>
            </w:pPr>
            <w:r>
              <w:rPr>
                <w:rFonts w:hint="cs"/>
                <w:rtl/>
              </w:rPr>
              <w:t>שתי חברותיה של א.א מסרו עדות על הסיטואציה שבה א.א שיתפה אותן במעשי הנאשם, לרבות מצבה הרגשי של א.א, שבכתה ופחדה כאשר סיפרה על המעשים.</w:t>
            </w:r>
          </w:p>
          <w:p w:rsidR="00A959A2" w:rsidRDefault="00A959A2" w:rsidP="00A959A2">
            <w:pPr>
              <w:pStyle w:val="a"/>
              <w:jc w:val="both"/>
              <w:rPr>
                <w:rtl/>
              </w:rPr>
            </w:pPr>
            <w:r>
              <w:rPr>
                <w:rFonts w:hint="cs"/>
                <w:rtl/>
              </w:rPr>
              <w:t xml:space="preserve">לגבי ח.ח, אחותה הקטנה של א.א, הנחו את האם לשאול אותה ספציפית על הנאשם, וח.ח סיפרה שהנאשם ביקש ממנה לעשות לו מסאז', היא נהגה לשבת עליו ולהתנועע על בטנו, והיא הרגישה שזה לא נעים לה. חוקרת הילדים </w:t>
            </w:r>
            <w:r>
              <w:rPr>
                <w:rFonts w:hint="cs"/>
                <w:rtl/>
              </w:rPr>
              <w:lastRenderedPageBreak/>
              <w:t>הסבירה שהקושי שלה לקבוע את המהימנות של ח.ח היה בשל העובדה שהתיאור היה גנרי בלבד ולא מפורט דיו. המאשימה סבורה שיש כאן שיטת ביצוע.</w:t>
            </w:r>
          </w:p>
          <w:p w:rsidR="00A959A2" w:rsidRDefault="00A959A2" w:rsidP="00A959A2">
            <w:pPr>
              <w:pStyle w:val="a"/>
              <w:jc w:val="both"/>
              <w:rPr>
                <w:rtl/>
              </w:rPr>
            </w:pPr>
            <w:r>
              <w:rPr>
                <w:rFonts w:hint="cs"/>
                <w:rtl/>
              </w:rPr>
              <w:t xml:space="preserve">בנוגע לגרסת הנאשם טענה המאשימה שהוא מסר כפירה גורפת לכלל האישומים, ולא מסר מניע לטענתו בדבר עלילת השווא. לטענתו, היו סכסוכים בינו ובין הסבתא שהובילו למריבות וויכוחים ביניהם, והסבתא שיתפה את בתה (אימה של א.א) ויתר בני המשפחה היו שומעים. אולם, הנאשם עצמו אישר שהוא לא נכח במקום כאשר הסבתא סיפרה על הסכסוכים לאֵם ולפיכך טענתו שבני המשפחה שמעו את השיחה בין הסבתא לאם אודות הסכסוכים בינה לבין הנאשם, אינה מבוססת. גם אם היו ויכוחים כטענת הנאשם, הרי שאין המדובר בוויכוחים חריגים בעוצמתם, ואין בכך כדי להסביר את התלונות. יש לדחות את טענת הנאשם שא.א שמעה על אודות הוויכוחים והחליטה להתלונן כדי להציל את סבתה מפניו. א.א אף לא נשאלה על כך בחקירתה הנגדית וכן לא נשאלה על האפשרות ששמעה על מעשים כאלה מחברות או מהמדיה. בחקירותיו במשטרה הנאשם לא הרחיב על המריבות עם הסבתא, זוגתו. א.א אהבה את הנאשם מאוד, ולא חשבה להגיש תלונה כנגדו, אלא לחשוף את האירועים באוזני משפחתה. עדות הסבתא חיזקה את ראיות המאשימה, ועדותה הייתה אותנטית. </w:t>
            </w:r>
          </w:p>
          <w:p w:rsidR="00A959A2" w:rsidRDefault="00A959A2" w:rsidP="00A959A2">
            <w:pPr>
              <w:pStyle w:val="a"/>
              <w:jc w:val="both"/>
              <w:rPr>
                <w:rtl/>
              </w:rPr>
            </w:pPr>
            <w:r>
              <w:rPr>
                <w:rFonts w:hint="cs"/>
                <w:rtl/>
              </w:rPr>
              <w:t>המאשימה ביקשה לקבוע שהעדויות של הקטינות מהימנות, הן נתמכות בשורה של עדויות נוספות שמחזקות האחת את השנייה: העדויות של האם, הדודה, ושתי חברותיה של א.א, שחקירותיהן הוגשו בהסכמה. הנאשם הכחיש את כל המיוחס לו ולא הצליח לעורר ספק בעדויות התביעה, ולכן יש לקבוע כי ביצוע המעשים הוכח מעבר לכל ספק סביר.</w:t>
            </w:r>
          </w:p>
          <w:p w:rsidR="00A959A2" w:rsidRDefault="00A959A2" w:rsidP="00A959A2">
            <w:pPr>
              <w:pStyle w:val="a"/>
              <w:numPr>
                <w:ilvl w:val="0"/>
                <w:numId w:val="0"/>
              </w:numPr>
              <w:tabs>
                <w:tab w:val="left" w:pos="720"/>
              </w:tabs>
              <w:ind w:left="720" w:hanging="636"/>
              <w:rPr>
                <w:b/>
                <w:bCs/>
              </w:rPr>
            </w:pPr>
            <w:r>
              <w:rPr>
                <w:rFonts w:hint="cs"/>
                <w:b/>
                <w:bCs/>
                <w:u w:val="single"/>
                <w:rtl/>
              </w:rPr>
              <w:t>טיעוני ההגנה</w:t>
            </w:r>
          </w:p>
          <w:p w:rsidR="00A959A2" w:rsidRDefault="00A959A2" w:rsidP="00A959A2">
            <w:pPr>
              <w:pStyle w:val="a"/>
              <w:jc w:val="both"/>
              <w:rPr>
                <w:rtl/>
              </w:rPr>
            </w:pPr>
            <w:r>
              <w:rPr>
                <w:rFonts w:hint="cs"/>
                <w:rtl/>
              </w:rPr>
              <w:t>ב"כ הנאשם, עו"ד הרצל סמילה, אשר ניהל את ההגנה בצורה מכובדת והגונה, טען כי עדויות א.א וחוקרת הילדים שחקרה אותה, אין די בהן כדי לקבוע ממצאים לפיהם הנאשם עבר את העבירות המיוחסות לו. א.א מתארת אירוע שאירע בהיותה בת 4 והעדויות שלה נמסרות כשהיא בת 13. כתב האישום מייחס לנאשם אירועים שהתרחשו בין השנים 2018-2013 בא.א, ובין השנים 2019-2017 בח.ח. אולם בפועל, אין תאריכים ספציפיים שניתן לבחון אותם, ולטעון טענות הגנה שיוכלו לסתור את האירועים המתוארים.</w:t>
            </w:r>
          </w:p>
          <w:p w:rsidR="00A959A2" w:rsidRDefault="00A959A2" w:rsidP="00A959A2">
            <w:pPr>
              <w:pStyle w:val="a"/>
              <w:numPr>
                <w:ilvl w:val="0"/>
                <w:numId w:val="0"/>
              </w:numPr>
              <w:tabs>
                <w:tab w:val="left" w:pos="720"/>
              </w:tabs>
              <w:ind w:left="720"/>
              <w:jc w:val="both"/>
              <w:rPr>
                <w:rtl/>
              </w:rPr>
            </w:pPr>
            <w:r>
              <w:rPr>
                <w:rFonts w:hint="cs"/>
                <w:rtl/>
              </w:rPr>
              <w:t>אין מחלוקת שהנאשם והסבתא היו בני זוג במשך 22 שנים, וכי נכדיה היו מתארחים אצלה מפעם לפעם, ואין מחלוקת שלעיתים א.א ישנה לצד הסבתא. ואולם, לטענת ההגנה הנאשם לא עבר את העבירות המיוחסות לו.</w:t>
            </w:r>
          </w:p>
          <w:p w:rsidR="00A959A2" w:rsidRDefault="00A959A2" w:rsidP="00A959A2">
            <w:pPr>
              <w:pStyle w:val="a"/>
              <w:numPr>
                <w:ilvl w:val="0"/>
                <w:numId w:val="0"/>
              </w:numPr>
              <w:tabs>
                <w:tab w:val="left" w:pos="720"/>
              </w:tabs>
              <w:ind w:left="720"/>
              <w:jc w:val="both"/>
              <w:rPr>
                <w:rtl/>
              </w:rPr>
            </w:pPr>
            <w:r>
              <w:rPr>
                <w:rFonts w:hint="cs"/>
                <w:rtl/>
              </w:rPr>
              <w:t xml:space="preserve">הנאשם נעצר ביום 13.10.2021 בעקבות תלונה שהגישה אימן של א.א וח.ח. בעת מעצרו הטלפון שהיה ברשותו נתפס, נלקח לבדיקה ונקבע כי לא הייתה בטלפון גלישה באתרים בעלי אופי פדופילי. </w:t>
            </w:r>
          </w:p>
          <w:p w:rsidR="00A959A2" w:rsidRDefault="00A959A2" w:rsidP="00A959A2">
            <w:pPr>
              <w:pStyle w:val="a"/>
              <w:numPr>
                <w:ilvl w:val="0"/>
                <w:numId w:val="0"/>
              </w:numPr>
              <w:tabs>
                <w:tab w:val="left" w:pos="720"/>
              </w:tabs>
              <w:ind w:left="720"/>
              <w:jc w:val="both"/>
              <w:rPr>
                <w:rtl/>
              </w:rPr>
            </w:pPr>
            <w:r>
              <w:rPr>
                <w:rFonts w:hint="cs"/>
                <w:rtl/>
              </w:rPr>
              <w:t xml:space="preserve">לעניין קיומו של סכסוך, בהקלטה שביצעה האם לשיחה שלה עם הנאשם בהיותו במעצר, הוא אמר לה: "בריב האחרון גם את לא היית איתי וגם הכל", "בשנתיים האחרונות זה לא היה כך, לא אהבתם אותי במשפחה". הנאשם הוא אדם נורמטיבי שהובא לתחנת משטרה ונחקר על עבירות חמורות. הוא לא ידע להצביע שזה קרה בגלל סכסוך מסוים. לא אחת הנאשם אמר שאינו מצליח להבין למה, הוא התחנן בהקלטה עם האֵם שתעשה כל מה שהיא יכולה לבדוק את הדברים, הוא אמר שהוא מוכן לעשות הכל כולל היפנוזה. </w:t>
            </w:r>
          </w:p>
          <w:p w:rsidR="00A959A2" w:rsidRDefault="00A959A2" w:rsidP="00A959A2">
            <w:pPr>
              <w:pStyle w:val="a"/>
              <w:numPr>
                <w:ilvl w:val="0"/>
                <w:numId w:val="0"/>
              </w:numPr>
              <w:tabs>
                <w:tab w:val="left" w:pos="720"/>
              </w:tabs>
              <w:ind w:left="720"/>
              <w:jc w:val="both"/>
              <w:rPr>
                <w:rtl/>
              </w:rPr>
            </w:pPr>
            <w:r>
              <w:rPr>
                <w:rFonts w:hint="cs"/>
                <w:rtl/>
              </w:rPr>
              <w:t xml:space="preserve">המשטרה לא ערכה בדיקת עומק על קיומו של סכסוך. האם אומרת שלא היה שום סכסוך, והם היו ביחסים מצוינים, אך בחקירתה הנגדית אישרה שהיה אירוע של סכסוך בראש השנה, הסבתא עזבה את הישוב שבו הם </w:t>
            </w:r>
            <w:r>
              <w:rPr>
                <w:rFonts w:hint="cs"/>
                <w:rtl/>
              </w:rPr>
              <w:lastRenderedPageBreak/>
              <w:t xml:space="preserve">שהו בערב החג, ונסעה נסיעה ארוכה ללא הנאשם חזרה לביתה. זה לא איזשהו ויכוח סתמי, ומכאן שהיחסים לא היו מצוינים. זאת הגם שהסכסוך בחג התרחש שלושה שבועות לפני המעצר, ולאחר החשיפה של א.א. השערת ההגנה היא שהסכסוך נמצא ברקע לתלונה. א.א מספרת שהיא מאוד אוהבת את סבתה, וייתכן שא.א דמיינה שהסבתא והנאשם הולכים להיפרד, אם כי אין ראיות לכך. עדות הסבתא תומכת בכך שהיה סכסוך כלשהו. בנוסף, א.א סיפרה שכל חברותיה הפסיקו לדבר איתה, אחותה הייתה בבית חולים, היא עברה תקופה קשה, וייתכן שכדי לקבל איזשהו פידבק מהחברות, היא לקחה משהו והעצימה אותו. </w:t>
            </w:r>
          </w:p>
          <w:p w:rsidR="00A959A2" w:rsidRDefault="00A959A2" w:rsidP="00A959A2">
            <w:pPr>
              <w:pStyle w:val="a"/>
              <w:numPr>
                <w:ilvl w:val="0"/>
                <w:numId w:val="0"/>
              </w:numPr>
              <w:tabs>
                <w:tab w:val="left" w:pos="720"/>
              </w:tabs>
              <w:ind w:left="720"/>
              <w:jc w:val="both"/>
              <w:rPr>
                <w:rtl/>
              </w:rPr>
            </w:pPr>
            <w:r>
              <w:rPr>
                <w:rFonts w:hint="cs"/>
                <w:rtl/>
              </w:rPr>
              <w:t xml:space="preserve">מצבו הרפואי של הנאשם, אשר עבר אירוע מוחי, אירוע לב וניתוח בגב, לא יכול היה לאפשר לו לעבור את אותן עבירות כפי שהן תוארו ע"י א.א. </w:t>
            </w:r>
          </w:p>
          <w:p w:rsidR="00A959A2" w:rsidRDefault="00A959A2" w:rsidP="00A959A2">
            <w:pPr>
              <w:pStyle w:val="a"/>
              <w:numPr>
                <w:ilvl w:val="0"/>
                <w:numId w:val="0"/>
              </w:numPr>
              <w:tabs>
                <w:tab w:val="left" w:pos="720"/>
              </w:tabs>
              <w:ind w:left="720"/>
              <w:jc w:val="both"/>
              <w:rPr>
                <w:rtl/>
              </w:rPr>
            </w:pPr>
            <w:r>
              <w:rPr>
                <w:rFonts w:hint="cs"/>
                <w:rtl/>
              </w:rPr>
              <w:t xml:space="preserve">כאשר האם הייתה בבית לין היא התבקשה ע"י העו"סית והמשטרה לבדוק מול בתה הקטנה ח.ח ועם בנה עוד בטרם נחקרו והיא ביצעה את התשאול הזה בפועל, מצב המעלה  חשש לזיהום החקירה. </w:t>
            </w:r>
          </w:p>
          <w:p w:rsidR="00A959A2" w:rsidRDefault="00A959A2" w:rsidP="00A959A2">
            <w:pPr>
              <w:pStyle w:val="a"/>
              <w:numPr>
                <w:ilvl w:val="0"/>
                <w:numId w:val="0"/>
              </w:numPr>
              <w:tabs>
                <w:tab w:val="left" w:pos="720"/>
              </w:tabs>
              <w:ind w:left="720"/>
              <w:jc w:val="both"/>
            </w:pPr>
            <w:r>
              <w:rPr>
                <w:rFonts w:hint="cs"/>
                <w:rtl/>
              </w:rPr>
              <w:t xml:space="preserve">האֵם מעולם לא ראתה שיש כסף בידי בתה א.א. כך גם לגבי העדות שמסרה הקטינה לגבי צילום ישבנה באירוע שבו היה הנאשם, מי שתיארה את האירוע הזה הייתה הדודה. א.א תיארה אירוע שלם בחקירה, תיארה שהיא ראתה את התמונה, שהוא אמר לה "איזה כוסית את", שהיא אמרה לו "עזוב אותי" והלכה. לעומת זאת, בבית המשפט העידה א.א שאירוע צילום הישבן לא קרה. המשטרה חקרה את האירוע, לא בדקה את כל הטלפונים כדי לנסות ולאתר את התמונה, ואין לאירוע כזה שום אינדיקציה. </w:t>
            </w:r>
          </w:p>
          <w:p w:rsidR="00A959A2" w:rsidRDefault="00A959A2" w:rsidP="00A959A2">
            <w:pPr>
              <w:pStyle w:val="a"/>
              <w:numPr>
                <w:ilvl w:val="0"/>
                <w:numId w:val="0"/>
              </w:numPr>
              <w:tabs>
                <w:tab w:val="left" w:pos="720"/>
              </w:tabs>
              <w:ind w:left="720"/>
              <w:jc w:val="both"/>
              <w:rPr>
                <w:rtl/>
              </w:rPr>
            </w:pPr>
            <w:r>
              <w:rPr>
                <w:rFonts w:hint="cs"/>
                <w:rtl/>
              </w:rPr>
              <w:t>לטענת ההגנה אין סימני אמת בעדותה של א.א. היא לכאורה סיפרה על דברים שילדה בגילה אינה אמורה לדעת, אך היא העידה בגיל 13, וזהו גיל שהיא כבר מבינה ולומדת חינוך מיני.</w:t>
            </w:r>
          </w:p>
          <w:p w:rsidR="00A959A2" w:rsidRDefault="00A959A2" w:rsidP="00A959A2">
            <w:pPr>
              <w:pStyle w:val="a"/>
              <w:numPr>
                <w:ilvl w:val="0"/>
                <w:numId w:val="0"/>
              </w:numPr>
              <w:tabs>
                <w:tab w:val="left" w:pos="720"/>
              </w:tabs>
              <w:ind w:left="720"/>
              <w:jc w:val="both"/>
              <w:rPr>
                <w:rtl/>
              </w:rPr>
            </w:pPr>
            <w:r>
              <w:rPr>
                <w:rFonts w:hint="cs"/>
                <w:rtl/>
              </w:rPr>
              <w:t>הטענה של א.א על כך שהנאשם היה עם חגורה במכנסיים במיטה בלילה, איננה סבירה ואינה אפשרית. הסבתא העידה שהנאשם לא נהג לישון עם חגורה. גם לחוקרת הילדים הייתה השגה בעניין הזה, אך לדעתה זה לא פוגע במהימנות של א.א. לטענת ההגנה עניין החגורה פוגע במהימנותה של א.א.</w:t>
            </w:r>
          </w:p>
          <w:p w:rsidR="00A959A2" w:rsidRDefault="00A959A2" w:rsidP="00A959A2">
            <w:pPr>
              <w:pStyle w:val="a"/>
              <w:numPr>
                <w:ilvl w:val="0"/>
                <w:numId w:val="0"/>
              </w:numPr>
              <w:tabs>
                <w:tab w:val="left" w:pos="720"/>
              </w:tabs>
              <w:ind w:left="720"/>
              <w:jc w:val="both"/>
              <w:rPr>
                <w:rtl/>
              </w:rPr>
            </w:pPr>
            <w:r>
              <w:rPr>
                <w:rFonts w:hint="cs"/>
                <w:rtl/>
              </w:rPr>
              <w:t>במקומות רבים בחקירתה לפני חוקרת הילדים, אומרת א.א "אני לא זוכרת", "אני לא יודעת", "תני לי לצאת החוצה", "אני רוצה להתייעץ עם אמא שלי". זאת לעומת העדות בבית המשפט שהייתה שוטפת וקולחת.</w:t>
            </w:r>
          </w:p>
          <w:p w:rsidR="00A959A2" w:rsidRDefault="00A959A2" w:rsidP="00A959A2">
            <w:pPr>
              <w:pStyle w:val="a"/>
              <w:jc w:val="both"/>
              <w:rPr>
                <w:rtl/>
              </w:rPr>
            </w:pPr>
            <w:r>
              <w:rPr>
                <w:rFonts w:hint="cs"/>
                <w:rtl/>
              </w:rPr>
              <w:t xml:space="preserve">הנאשם הוא אדם גדול וכבד משקל, כפי שא.א אף תיארה, אך לטענת ההגנה לא סביר שהיה גוהר מעליה במשקל שלו, במצב שבו הסבתא נמצאת שם. אין סיבה שהנאשם יעשה את המעשה במיטה כאשר הסבתא נוכחת, ולא למשל בחדר נפרד, תוך שהוא מסתכן שהסבתא תתעורר. הסבתא אף אישרה שדלת חדר השינה הייתה פתוחה. </w:t>
            </w:r>
          </w:p>
          <w:p w:rsidR="00A959A2" w:rsidRDefault="00A959A2" w:rsidP="00A959A2">
            <w:pPr>
              <w:pStyle w:val="a"/>
              <w:numPr>
                <w:ilvl w:val="0"/>
                <w:numId w:val="0"/>
              </w:numPr>
              <w:tabs>
                <w:tab w:val="left" w:pos="720"/>
              </w:tabs>
              <w:ind w:left="720"/>
              <w:jc w:val="both"/>
              <w:rPr>
                <w:rtl/>
              </w:rPr>
            </w:pPr>
            <w:r>
              <w:rPr>
                <w:rFonts w:hint="cs"/>
                <w:rtl/>
              </w:rPr>
              <w:t xml:space="preserve">א.א תיארה שבמהלך האירוע היא הייתה עם מכנסיים מתחת לברך. לא יתכן שקטינה עם מכנסיים על גופה, עד מתחת לברך, יכולה לפסק את הרגליים בצורה כזאת, והנאשם שגם הוא עם מכנסיו מתחת לברכיים, יבצע אקט כזה של ניסיון חדירה. </w:t>
            </w:r>
          </w:p>
          <w:p w:rsidR="00A959A2" w:rsidRDefault="00A959A2" w:rsidP="00A959A2">
            <w:pPr>
              <w:pStyle w:val="a"/>
              <w:numPr>
                <w:ilvl w:val="0"/>
                <w:numId w:val="0"/>
              </w:numPr>
              <w:tabs>
                <w:tab w:val="left" w:pos="720"/>
              </w:tabs>
              <w:ind w:left="720"/>
              <w:jc w:val="both"/>
            </w:pPr>
            <w:r>
              <w:rPr>
                <w:rFonts w:hint="cs"/>
                <w:rtl/>
              </w:rPr>
              <w:t xml:space="preserve">בסיכומו של דבר, עתר ב"כ הנאשם לזכות את הנאשם מהמיוחס לו בכתב האישום. </w:t>
            </w:r>
          </w:p>
          <w:p w:rsidR="00A959A2" w:rsidRDefault="00A959A2" w:rsidP="00A959A2">
            <w:pPr>
              <w:pStyle w:val="ae"/>
              <w:spacing w:after="120" w:line="360" w:lineRule="auto"/>
              <w:ind w:left="509" w:hanging="567"/>
              <w:jc w:val="both"/>
              <w:rPr>
                <w:rFonts w:ascii="David" w:hAnsi="David" w:cs="David"/>
                <w:b/>
                <w:bCs/>
                <w:sz w:val="24"/>
                <w:szCs w:val="24"/>
                <w:u w:val="single"/>
                <w:rtl/>
              </w:rPr>
            </w:pPr>
            <w:r>
              <w:rPr>
                <w:rFonts w:ascii="David" w:hAnsi="David" w:cs="David"/>
                <w:b/>
                <w:bCs/>
                <w:sz w:val="28"/>
                <w:szCs w:val="28"/>
                <w:u w:val="single"/>
                <w:rtl/>
              </w:rPr>
              <w:t>דיון והכרעה</w:t>
            </w:r>
          </w:p>
          <w:p w:rsidR="00A959A2" w:rsidRDefault="00A959A2" w:rsidP="00A959A2">
            <w:pPr>
              <w:spacing w:after="120" w:line="360" w:lineRule="auto"/>
              <w:jc w:val="both"/>
              <w:rPr>
                <w:rFonts w:ascii="David" w:hAnsi="David"/>
                <w:b/>
                <w:bCs/>
                <w:u w:val="single"/>
                <w:rtl/>
              </w:rPr>
            </w:pPr>
            <w:r>
              <w:rPr>
                <w:rFonts w:ascii="David" w:hAnsi="David"/>
                <w:b/>
                <w:bCs/>
                <w:u w:val="single"/>
                <w:rtl/>
              </w:rPr>
              <w:t>מהימנות א.א</w:t>
            </w:r>
          </w:p>
          <w:p w:rsidR="00A959A2" w:rsidRDefault="00A959A2" w:rsidP="00A959A2">
            <w:pPr>
              <w:pStyle w:val="a"/>
              <w:jc w:val="both"/>
              <w:rPr>
                <w:b/>
                <w:bCs/>
                <w:u w:val="single"/>
                <w:rtl/>
              </w:rPr>
            </w:pPr>
            <w:r>
              <w:rPr>
                <w:rFonts w:hint="cs"/>
                <w:rtl/>
                <w:lang w:eastAsia="he-IL"/>
              </w:rPr>
              <w:lastRenderedPageBreak/>
              <w:t>אקדים ואומר כי מצאתי את עדותה של המתלוננת א.א מהימנה ומשכנעת. עדותה הייתה קוהרנטית, עקבית, ומפורטת, וניכר כי א.א זכרה היטב את האירועים, תיאוריה היו מפורטים ומהימנים.  היא זכרה את האירועים בהתאם למקומות מגוריהם המשתנים של הנאשם וסבתה, ולא זכרה את גילה באותה עת, אך בנסיבות העניין לא מצאתי כי הדבר פגם ביכולת לבסס ממצאים על יסוד עדותה. עדותה של א.א הותירה רושם מהימן, היא העידה באריכות ובפירוט רב על המעשים שביצע בה הנאשם, ותיארה באופן מוחשי את הדברים, ללא הפרזה או הגזמה, תוך שהקפידה לדייק בפרטים. עדותה של א.א נותרה עקבית, והיא עמדה על גרסתה גם בחקירתה הנגדית.</w:t>
            </w:r>
          </w:p>
          <w:p w:rsidR="00A959A2" w:rsidRDefault="00A959A2" w:rsidP="00A959A2">
            <w:pPr>
              <w:pStyle w:val="a"/>
              <w:numPr>
                <w:ilvl w:val="0"/>
                <w:numId w:val="0"/>
              </w:numPr>
              <w:tabs>
                <w:tab w:val="left" w:pos="720"/>
              </w:tabs>
              <w:ind w:left="720"/>
              <w:jc w:val="both"/>
              <w:rPr>
                <w:lang w:eastAsia="he-IL"/>
              </w:rPr>
            </w:pPr>
            <w:r>
              <w:rPr>
                <w:rFonts w:hint="cs"/>
                <w:b/>
                <w:bCs/>
                <w:rtl/>
                <w:lang w:eastAsia="he-IL"/>
              </w:rPr>
              <w:t>עדותה המהימנה של א.א אינה עומדת לבדה</w:t>
            </w:r>
            <w:r>
              <w:rPr>
                <w:rFonts w:hint="cs"/>
                <w:rtl/>
                <w:lang w:eastAsia="he-IL"/>
              </w:rPr>
              <w:t>. כידוע, לעדות מתלוננת בעבירת מין לא נדרשת תוספת ראייתית כלשהי, ודי בהנמקה למתן אמון בעדות לשם הרשעת הנאשם (סעיף 54א(ב) לפקודת הראיות [נוסח חדש], התשל"א-1971), אלא שבענייננו עדות המתלוננת נתמכת בחיזוקים משמעותיים, שיש בהן כדי לתמוך בגרסתה ולחזק את מהימנותה.</w:t>
            </w:r>
          </w:p>
          <w:p w:rsidR="00A959A2" w:rsidRDefault="00A959A2" w:rsidP="00A959A2">
            <w:pPr>
              <w:pStyle w:val="a"/>
              <w:numPr>
                <w:ilvl w:val="0"/>
                <w:numId w:val="0"/>
              </w:numPr>
              <w:tabs>
                <w:tab w:val="left" w:pos="720"/>
              </w:tabs>
              <w:ind w:left="720"/>
              <w:jc w:val="both"/>
              <w:rPr>
                <w:b/>
                <w:bCs/>
                <w:rtl/>
                <w:lang w:eastAsia="he-IL"/>
              </w:rPr>
            </w:pPr>
            <w:r>
              <w:rPr>
                <w:rFonts w:hint="cs"/>
                <w:rtl/>
                <w:lang w:eastAsia="he-IL"/>
              </w:rPr>
              <w:t xml:space="preserve">במקרה שלפנינו קיימות ראיות חיצוניות ועדויות, אשר מחזקות את גרסתה של א.א ובכללן עדות והערכת המהימנות של חוקרת הילדים, עדות אימה של א.א באשר לנסיבות של האירועים, ולחשיפת הפגיעות, כמו גם עדויות חברותיה בפני חוקרת ילדים. </w:t>
            </w:r>
          </w:p>
          <w:p w:rsidR="00A959A2" w:rsidRDefault="00A959A2" w:rsidP="00A959A2">
            <w:pPr>
              <w:pStyle w:val="a"/>
              <w:numPr>
                <w:ilvl w:val="0"/>
                <w:numId w:val="0"/>
              </w:numPr>
              <w:tabs>
                <w:tab w:val="left" w:pos="720"/>
              </w:tabs>
              <w:ind w:left="720" w:hanging="720"/>
              <w:jc w:val="both"/>
              <w:rPr>
                <w:b/>
                <w:bCs/>
                <w:u w:val="single"/>
              </w:rPr>
            </w:pPr>
            <w:r>
              <w:rPr>
                <w:rFonts w:hint="cs"/>
                <w:b/>
                <w:bCs/>
                <w:u w:val="single"/>
                <w:rtl/>
              </w:rPr>
              <w:t>עדות א.א על אודות מעשי הפגיעה</w:t>
            </w:r>
          </w:p>
          <w:p w:rsidR="00A959A2" w:rsidRDefault="00A959A2" w:rsidP="00A959A2">
            <w:pPr>
              <w:pStyle w:val="a"/>
              <w:jc w:val="both"/>
              <w:rPr>
                <w:rtl/>
              </w:rPr>
            </w:pPr>
            <w:r>
              <w:rPr>
                <w:rFonts w:hint="cs"/>
                <w:rtl/>
              </w:rPr>
              <w:t xml:space="preserve">א.א הייתה כבת 13 בעת עדותה בבית המשפט, תלמידת כיתה ח'. היא העידה שיש לה שלושה אחים קטנים (בגילאי 12-3). הנאשם הוא סבה החורג והיא מכירה אותו כל חייה. הקשר בין הנאשם למשפחתה היה קרוב והם הרבו להיפגש (עמ' 50). א.א התייחסה בעדותה לאירועים בהתאם למקום שבו התרחשו, ובשים לב לכך שהנאשם וסבתה התגוררו במשך השנים בבתים שונים. </w:t>
            </w:r>
          </w:p>
          <w:p w:rsidR="00A959A2" w:rsidRDefault="00A959A2" w:rsidP="00A959A2">
            <w:pPr>
              <w:pStyle w:val="a"/>
              <w:jc w:val="both"/>
              <w:rPr>
                <w:rtl/>
              </w:rPr>
            </w:pPr>
            <w:r>
              <w:rPr>
                <w:rFonts w:hint="cs"/>
                <w:b/>
                <w:bCs/>
                <w:u w:val="single"/>
                <w:rtl/>
              </w:rPr>
              <w:t>אישום 1 (חדר הכביסה)</w:t>
            </w:r>
            <w:r>
              <w:rPr>
                <w:rFonts w:hint="cs"/>
                <w:rtl/>
              </w:rPr>
              <w:t xml:space="preserve"> - א.א העידה שבבית הרלוונטי לאישום זה של סבתה והנאשם, היא והנאשם היו בגינה בה היה שולחן מפלסטיק ושני מחסנים, שאחד מהם שימש חדר כביסה. הם ישבו ליד השולחן ודיברו ומשם הלכו לחדר הכביסה. בחדר הכביסה היו שתי מכונות האחת גדולה והשנייה קטנה יותר וביניהן היה מרווח. כששהו בחדר הכביסה הנאשם פתח את חגורת מכנסיו ואמר לה לגעת באיבר מינו. "הייתי מאוד בשוק, לא כל כך הבנתי מה קורה ואז נגעתי לו באיבר המין בתנועות מלמעלה למטה" (עמ' 52 ש' 12-13). "הוא לקח את היד שלי ושם על האיבר מין שלו... ואז בהתחלה עם היד שלו הוא היה עושה את התנועות מלמעלה למטה ואז באיזשהו שלב הוא היה עוזב ואני הייתי ממשיכה" (עמ' 52 ש' 20-24). האירוע הזה קרה מספר פעמים והנאשם היה מפסיק את מעשיו כאשר מישהו היה קורא להם. אינה זוכרת מה היה גילה המדויק באותה עת. באופן כללי זוכרת את האירועים לפי מיקום הבתים ולא לפי גילה (עמ' 52-53). אינה זוכרת האם דלת המחסן הייתה סגורה או פתוחה בעת האירוע (עמ' 89). אינה זוכרת באופן ספציפי את המקרה הראשון שבו אירעו המעשים בחדר הכביסה, שכן היו אירועים דומים רבים (עמ' 88). </w:t>
            </w:r>
          </w:p>
          <w:p w:rsidR="00A959A2" w:rsidRDefault="00A959A2" w:rsidP="00A959A2">
            <w:pPr>
              <w:pStyle w:val="a"/>
              <w:jc w:val="both"/>
            </w:pPr>
            <w:r>
              <w:rPr>
                <w:rFonts w:hint="cs"/>
                <w:rtl/>
              </w:rPr>
              <w:t xml:space="preserve">גם בחקירות הילדים מסרה א.א תיאור דומה בנוגע לאישום זה. הנאשם אמר לה לגעת באיבר מינו בחדר הכביסה במחסן שבביתו "הייתי ילדה קטנה והקשבתי לו" (ת/5, חקירת ילדים מיום 13.10.21, עמ' 4 ש' 19; עמ' 16). חשבה שזה בסדר כי הוא אדם מבוגר (ת/5 עמ' 16). תיארה את הבית, הגינה והמחסן. תיארה שהנאשם הושיב אותה על מכונת הכביסה במחסן, הוריד את חגורת מכנסיו ותחתוניו, הוציא את איבר מינו, לקח את ידה ואמר לה לגעת </w:t>
            </w:r>
            <w:r>
              <w:rPr>
                <w:rFonts w:hint="cs"/>
                <w:rtl/>
              </w:rPr>
              <w:lastRenderedPageBreak/>
              <w:t xml:space="preserve">באיבר מינו (ת/5 עמ' 15-16; ת/6 עמ' 12). בהתחלה נבהלה, אח"כ אמרה לעצמה שהוא גדול ומבין. הוא לקח את ידה והניח על איבר מינו בתנועות של למעלה למטה (ת/6, חקירת ילדים מיום 22.10.21, עמ' 14). מעשיו היו נמשכים עד שמישהו היה מגיע וכך היו הפעמים הראשונות (ת/5 עמ' 4; עמ' 17; ת/6 עמ' 12-14). </w:t>
            </w:r>
          </w:p>
          <w:p w:rsidR="00A959A2" w:rsidRDefault="00A959A2" w:rsidP="00A959A2">
            <w:pPr>
              <w:pStyle w:val="a"/>
              <w:jc w:val="both"/>
            </w:pPr>
            <w:r>
              <w:rPr>
                <w:rFonts w:hint="cs"/>
                <w:b/>
                <w:bCs/>
                <w:u w:val="single"/>
                <w:rtl/>
              </w:rPr>
              <w:t>אישום 2 (הדפסת דפי הצביעה</w:t>
            </w:r>
            <w:r>
              <w:rPr>
                <w:rFonts w:hint="cs"/>
                <w:rtl/>
              </w:rPr>
              <w:t xml:space="preserve">) – א.א העידה כי מקרה נוסף אירע בבית הנאשם והסבתא שלאחר זמן נשרף. בבית היו חצר ומחסן שבו היה שולחן עבודה עם מחשב ומדפסת. היא רצתה להדפיס דפים לצביעה וביקשה מסבתה עזרה, אולם הסבתא הפנתה אותה לנאשם כיוון שאינה יודעת להדפיס. א.א קראה לנאשם ובזמן שהראה לה כיצד להדפיס את הדפים, הניח את ידיו על חזה מתחת לחולצה, צבט ושחרר את חזה. הוא הפסיק את מעשיו כאשר הסבתא קראה לו מהמטבח לבוא לעזור לה. באותו זמן א.א חשה מבוכה, לא חשבה אז שמשהו לא בסדר כי לא הבינה מה קורה. מעשיו אלה לא גרמו לה לכאב. אינה זוכרת את גילה באותו הזמן (עמ' 56-57). </w:t>
            </w:r>
          </w:p>
          <w:p w:rsidR="00A959A2" w:rsidRDefault="00A959A2" w:rsidP="00A959A2">
            <w:pPr>
              <w:pStyle w:val="a"/>
              <w:jc w:val="both"/>
            </w:pPr>
            <w:r>
              <w:rPr>
                <w:rFonts w:hint="cs"/>
                <w:rtl/>
              </w:rPr>
              <w:t xml:space="preserve">באופן דומה תיארה א.א בחקירות הילדים את המקרה בו ביקשה להדפיס מהמחשב דפי צביעה. כאשר הנאשם בא לסייע לה להדפיס הוא נגע בחזה מתחת לבגדים. היא ישבה על כיסא והנאשם עמד מאחוריה. מחץ ושחרר את חזהּ. לא אמרה לו כלום כי התביישה (ת/5 עמ' 5; עמ' 24-25). </w:t>
            </w:r>
          </w:p>
          <w:p w:rsidR="00A959A2" w:rsidRDefault="00A959A2" w:rsidP="00A959A2">
            <w:pPr>
              <w:pStyle w:val="a"/>
              <w:jc w:val="both"/>
            </w:pPr>
            <w:r>
              <w:rPr>
                <w:rFonts w:hint="cs"/>
                <w:b/>
                <w:bCs/>
                <w:u w:val="single"/>
                <w:rtl/>
              </w:rPr>
              <w:t xml:space="preserve">אישום 3 (סרטונים מיניים) </w:t>
            </w:r>
            <w:r>
              <w:rPr>
                <w:rFonts w:hint="cs"/>
                <w:rtl/>
              </w:rPr>
              <w:t xml:space="preserve">– א.א העידה שבמקרה נוסף, בעת שצפתה בטלוויזיה, נכנס הנאשם לחדרה ורצה להטעין את הטלפון הנייד שלו, הראה לה שני סרטונים באמצעות הטלפון שלו, זוכרת בברור את אחד הסרטונים בו היו גבר ואישה עירומים, הגבר עמד, הרים את האישה והכניס את איבר מינו לאיבר מינה. בסרטון הנוסף היו גבר ואישה אחד על השני, ואינה זוכרת את הסרטון הזה בברור. חשה גועל ואמרה לנאשם שזה מגעיל אותה ושאינה רוצה לצפות בזה. הנאשם אמר לה שהוא רוצה לעשות איתה דברים כאלה (עמ' 62). בחקירתה הנגדית עמדה על כך שצפתה בשני הסרטונים שהראה לה הנאשם, אך אינה זוכרת את אחד הסרטונים. אינה זוכרת האם זה קרה ביום או בלילה, לא יודעת האם נכנס לגלריה כדי לאתר את הסרטונים, זוכרת שחשה מבוכה וגועל (עמ' 79-80). </w:t>
            </w:r>
          </w:p>
          <w:p w:rsidR="00A959A2" w:rsidRDefault="00A959A2" w:rsidP="00A959A2">
            <w:pPr>
              <w:pStyle w:val="a"/>
              <w:jc w:val="both"/>
              <w:rPr>
                <w:rtl/>
              </w:rPr>
            </w:pPr>
            <w:r>
              <w:rPr>
                <w:rFonts w:hint="cs"/>
                <w:rtl/>
              </w:rPr>
              <w:t xml:space="preserve">באופן דומה תיארה א.א בחקירות הילדים את האירוע בו צפתה בטלוויזיה, הנאשם הגיע, אמר שרוצה להראות לה משהו והציג בפניה סרטונים מיניים בטלפון הנייד שלו ואמר לה שכך הוא רוצה שיעשו. זה הגעיל אותה ולא רצתה לראות את זה. בסרטון היה גבר שהרים אישה ורואים שאיבר מינו נכנס לאיבר מינה. זוכרת סרטון אחד אך לא את השני, כי לא הסתכלה יותר מידי (ת/5 עמ' 5; עמ' 25-26; ת/6 עמ' 23-24). </w:t>
            </w:r>
          </w:p>
          <w:p w:rsidR="00A959A2" w:rsidRDefault="00A959A2" w:rsidP="00A959A2">
            <w:pPr>
              <w:pStyle w:val="a"/>
              <w:jc w:val="both"/>
            </w:pPr>
            <w:r>
              <w:rPr>
                <w:rFonts w:hint="cs"/>
                <w:b/>
                <w:bCs/>
                <w:u w:val="single"/>
                <w:rtl/>
              </w:rPr>
              <w:t>אישום 4 (הנסיעה לקופיקס)</w:t>
            </w:r>
            <w:r>
              <w:rPr>
                <w:rFonts w:hint="cs"/>
                <w:rtl/>
              </w:rPr>
              <w:t xml:space="preserve"> – א.א העידה שבאחד המקרים ביקשה ללכת לקנות שתיה בקופיקס והנאשם הלך איתה, הם יצאו מהבית ברכבו של הנאשם. בבית היו בני המשפחה, פרט לאביה. הנאשם אמר לה לשבת במושב שליד הנהג וכאשר יצאו מהרחוב, הוא הניח את ידו על רגלה והתקרב לאט עד שנגע באיבר מינה מעל למכנסיה. מדובר בנסיעה קצרה (עמ' 55). בחקירה הנגדית נשאלה על גרסת הנאשם שלפיה הקופיקס נמצא קרוב לבית שלו ושל הסבתא, ולכן נהגו ללכת ברגל למקום ולא לנסוע ברכבו, והיא השיבה כי היו מספר בתים לנאשם ולסבתא, ומאחד מהם אכן היו הולכים ברגל לקופיקס, אך המקרה הזה היה כשהם גרו בבית אחר (עמ' 106-107).</w:t>
            </w:r>
          </w:p>
          <w:p w:rsidR="00A959A2" w:rsidRDefault="00A959A2" w:rsidP="00A959A2">
            <w:pPr>
              <w:pStyle w:val="a"/>
              <w:jc w:val="both"/>
              <w:rPr>
                <w:rtl/>
              </w:rPr>
            </w:pPr>
            <w:r>
              <w:rPr>
                <w:rFonts w:hint="cs"/>
                <w:rtl/>
              </w:rPr>
              <w:t xml:space="preserve">גם בחקירת הילדים, תיארה א.א באופן דומה את המקרה שאירע בעת נסיעתה עם הנאשם לקופיקס, כאשר היא ישבה מקדימה, הנאשם נגע באיבר מינה מעל למכנסיה ועשה תנועות למעלה למטה (ת/6, עמ' 25;29). חשה מוזר כיוון שזה מקום ציבורי ואנשים יכלו לראות. מצד אחד רצתה שיראו אך מצד שני חשבה שאם הוא עושה כך בחוץ </w:t>
            </w:r>
            <w:r>
              <w:rPr>
                <w:rFonts w:hint="cs"/>
                <w:rtl/>
              </w:rPr>
              <w:lastRenderedPageBreak/>
              <w:t>אולי המעשים שלו מותרים (ת/6, עמ' 29). במקרה נוסף, לאחר שהמעשים פסקו, היא נסעה עם הנאשם ברכב, ישבה במושב האחורי, וכאשר הנאשם ביקש ממנה לעבור למושב הקדמי היא סירבה. לאחר מכן שאל הנאשם מדוע לא עברה לשבת לידו והיא המציאה משהו (ת/6 עמ' 26-29).</w:t>
            </w:r>
          </w:p>
          <w:p w:rsidR="00A959A2" w:rsidRDefault="00A959A2" w:rsidP="00A959A2">
            <w:pPr>
              <w:pStyle w:val="a"/>
              <w:jc w:val="both"/>
            </w:pPr>
            <w:r>
              <w:rPr>
                <w:rFonts w:hint="cs"/>
                <w:b/>
                <w:bCs/>
                <w:u w:val="single"/>
                <w:rtl/>
              </w:rPr>
              <w:t>אישום 5 (המקלחת)</w:t>
            </w:r>
            <w:r>
              <w:rPr>
                <w:rFonts w:hint="cs"/>
                <w:rtl/>
              </w:rPr>
              <w:t xml:space="preserve"> – א.א העידה שבאחד המקרים, הלכה להתקלח בבית הנאשם והסבתא, והוא נכנס לחדר הרחצה וביקש ממנה לעשות פיסוק ולהראות עד כמה היא גמישה. באותה התקופה השתתפה בחוג התעמלות ונהגה להראות לבני המשפחה תרגילי גמישות שונים. היא נענתה לבקשתו והדגימה לו פיסוק, הנאשם הסתכל עליה למשך מספר דקות ואמר "וואו איזה גמישה את". הייתה ילדה קטנה, לא זוכרת כיצד הגיבה (עמ' 58). היה מקרה דומה נוסף לקראת סוף תקופת הפגיעות שכבר החלה להבין שמשהו לא בסדר. סיימה להתקלח ויצאה עטופה במגבת לחדר השינה של הנאשם וסבתה כדי להתלבש. הנאשם נכנס והיא הידקה את המגבת לגופה. הנאשם אמר לה: "מה את מכסה?", והתכוון שכבר ראה אותה עירומה ולכן אין לה סיבה להתבייש (עמ' 59). </w:t>
            </w:r>
          </w:p>
          <w:p w:rsidR="00A959A2" w:rsidRDefault="00A959A2" w:rsidP="00A959A2">
            <w:pPr>
              <w:pStyle w:val="a"/>
              <w:jc w:val="both"/>
              <w:rPr>
                <w:rtl/>
              </w:rPr>
            </w:pPr>
            <w:r>
              <w:rPr>
                <w:rFonts w:hint="cs"/>
                <w:rtl/>
              </w:rPr>
              <w:t xml:space="preserve">א.א תיארה בחקירת הילדים השנייה באופן דומה את האירוע במקלחת. היא מסרה שהנאשם נכנס לחדר הרחצה בעת שהתקלחה, אמר לה לעשות פיסוק עם הרגליים והיא עשתה כבקשתו. חשבה שזה קשור לכך שהיא הייתה בחוג התעלמות קרקע והייתה נוהגת להדגים לבני משפחתה תרגילים. פעם נוספת הנאשם נכנס לחדר הרחצה בעת שהתקלחה, סבורה שנכנס בטעות. התבונן בה מספר רגעים ויצא. כאשר הנאשם נכנס היא התכווצה והסתירה את איבריה והנאשם שאל אותה למה היא מסתירה. במקרה שבו הנאשם ביקש שתפסק את רגליה היא הייתה קטנה לעומת המקרה השני (ת/6 עמ' 30-33). </w:t>
            </w:r>
          </w:p>
          <w:p w:rsidR="00A959A2" w:rsidRDefault="00A959A2" w:rsidP="00A959A2">
            <w:pPr>
              <w:pStyle w:val="a"/>
              <w:jc w:val="both"/>
            </w:pPr>
            <w:r>
              <w:rPr>
                <w:rFonts w:hint="cs"/>
                <w:b/>
                <w:bCs/>
                <w:u w:val="single"/>
                <w:rtl/>
              </w:rPr>
              <w:t xml:space="preserve">אישום 6 (הטלוויזיה) </w:t>
            </w:r>
            <w:r>
              <w:rPr>
                <w:rFonts w:hint="cs"/>
                <w:rtl/>
              </w:rPr>
              <w:t xml:space="preserve">– א.א העידה שהיה מקרה שהיא ואָחיה התארחו בבית הנאשם, סבתה לא הייתה בבית. צפו בטלוויזיה בשכיבה. אחיה נרדם, והנאשם אמר לה להיכנס מתחת לשמיכה, הוריד את החגורה והמכנסיים שלו ואמר לה להכניס את איבר מינו לפיה. היא אמרה לו "איכס, זה מלא חיידקים, זה לא מגעיל?" והוא השיב לה "לא, זה בסדר". והיא עשתה כדבריו, והכניסה את איבר מינו לפיה (עמ' 57). הסבירה כי סיפרה על המקרה הזה רק בחקירה השנייה כיוון שבחקירה הראשונה סיפרה בעיקר על הדברים שקרו כל הזמן ולא זכרה לספר על המקרה הזה ורצתה מאוד לסיים את החקירה. כאשר אימה שאלה אותה האם עשתה משהו עם הפה ואיבר המין שלו, השיבה בשלילה כיוון שהתביישה לספר לה (עמ' 108). </w:t>
            </w:r>
          </w:p>
          <w:p w:rsidR="00A959A2" w:rsidRDefault="00A959A2" w:rsidP="00A959A2">
            <w:pPr>
              <w:pStyle w:val="a"/>
              <w:jc w:val="both"/>
              <w:rPr>
                <w:rtl/>
              </w:rPr>
            </w:pPr>
            <w:r>
              <w:rPr>
                <w:rFonts w:hint="cs"/>
                <w:rtl/>
              </w:rPr>
              <w:t xml:space="preserve">א.א מסרה בחקירות הילדים תיאור דומה של האירוע שהחל בצפייה בטלוויזיה. כאשר החוקרת שאלה את א.א האם מישהו אמר לה לעשות משהו עם פיה, השיבה ששכחה לספר ומדובר בפרט חשוב. תיארה מקרה שאירע בבית הנאשם וסבתה, כאשר היא ואחיה שכבו במיטה עם הנאשם וצפו בטלוויזיה, בשלב מסוים אחיה נרדם והנאשם אמר לה להיכנס מתחת לשמיכה </w:t>
            </w:r>
            <w:r>
              <w:rPr>
                <w:rFonts w:hint="cs"/>
                <w:u w:val="single"/>
                <w:rtl/>
              </w:rPr>
              <w:t>ולהכניס את איבר מינו לפיה</w:t>
            </w:r>
            <w:r>
              <w:rPr>
                <w:rFonts w:hint="cs"/>
                <w:rtl/>
              </w:rPr>
              <w:t>. לא הבינה את המשמעות של המעשה ועשתה כפי שאמר לה. בהתחלה ממש נבהלה ואמרה לו שזה "איכס" ו"מלא בחיידקים", והנאשם אמר לה שזה לא נכון. זה נמשך מספר דקות (ת/5 עמ' 31-32). מעשה זה אירע פעם אחת בלבד (ת/6 עמ' 30).</w:t>
            </w:r>
          </w:p>
          <w:p w:rsidR="00A959A2" w:rsidRDefault="00A959A2" w:rsidP="00A959A2">
            <w:pPr>
              <w:pStyle w:val="a"/>
              <w:jc w:val="both"/>
            </w:pPr>
            <w:r>
              <w:rPr>
                <w:rFonts w:hint="cs"/>
                <w:b/>
                <w:bCs/>
                <w:u w:val="single"/>
                <w:rtl/>
              </w:rPr>
              <w:t xml:space="preserve">אישום 7 (השינה במיטת הנאשם והסבתא) </w:t>
            </w:r>
            <w:r>
              <w:rPr>
                <w:rFonts w:hint="cs"/>
                <w:rtl/>
              </w:rPr>
              <w:t xml:space="preserve">– א.א העידה שהיה מקרה שכל משפחתה לנה בבית הנאשם והסבתא בשבת כיוון שהם שומרים שבת. מדובר בבית קטן ולכן הוריה ישנו בחדר אחד, אחיה ישן בסלון והיא ישנה עם הנאשם וסבתה במיטתם. ישנה ביניהם במיטה, כי סבתה חששה שתיפול מהמיטה (עמ' 53; 61). כאשר סבתה נרדמה, נגע הנאשם באיבר מינה של א.א מעל לבגדיה ולאחר זמן מה הכניס את ידו מתחת לתחתוניה, נגע באיבר מינה מלמעלה למטה ובהמשך לכך פתח את חגורתו והוריד את מכנסיו, אמר לה לגעת באיבר מינו ובהמשך לעלות </w:t>
            </w:r>
            <w:r>
              <w:rPr>
                <w:rFonts w:hint="cs"/>
                <w:rtl/>
              </w:rPr>
              <w:lastRenderedPageBreak/>
              <w:t>עליו וניסה להכניס את איבר מינו לאיבר מינה "זה לא כל כך הצליח בגלל שאיבר המין שלי קטן ושלו גדול והייתי קטנה, אז הוא היה גם אומר לי זוזי לפה, זוזי לשם" (עמ' 53 ש' 29-30). המעשה הזה חזר על עצמו יותר מפעם אחת. רק כשגדלה והבינה שמשהו לא בסדר, ניסתה לישון לצד סבתה ולא באמצע ביניהם (עמ' 61).</w:t>
            </w:r>
          </w:p>
          <w:p w:rsidR="00A959A2" w:rsidRDefault="00A959A2" w:rsidP="00A959A2">
            <w:pPr>
              <w:pStyle w:val="a"/>
              <w:numPr>
                <w:ilvl w:val="0"/>
                <w:numId w:val="0"/>
              </w:numPr>
              <w:tabs>
                <w:tab w:val="left" w:pos="720"/>
              </w:tabs>
              <w:ind w:left="720"/>
              <w:jc w:val="both"/>
              <w:rPr>
                <w:rtl/>
              </w:rPr>
            </w:pPr>
            <w:r>
              <w:rPr>
                <w:rFonts w:hint="cs"/>
                <w:rtl/>
              </w:rPr>
              <w:t xml:space="preserve">קרו המון מקרים דומים. כשגדלה החלה להבין שזה לא בסדר. בכל פעם היה נוגע עם ידו באיבר מינה בתחילה מעל למכנסיה ולאחר מכן מתחת למכנסיים. היה עושה תנועות מלמעלה למטה. סבתה ישנה מצד שמאל והנאשם מצד ימין והיא ישנה ביניהם. באחד המקרים היא צבטה את סבתה כדי להעירה. כיוון שהסבתא הייתה נוחרת, נהגו להעירה כדי שתפסיק לנחור. באותו המקרה לאחר שצבטה אותה, הסבתא פשוט הפסיקה לנחור אך לא התעוררה. הנאשם ביקש מא.א לעלות עליו אחרי שהיא נגעה לו באיבר המין, ומשם לא הצליחה להגיע עד לסבתא כדי לצבוט אותה. הוא היה מנסה להכניס את איבר מינו לאיבר מינה ולא היה מצליח. באחת הפעמים הוא נישק אותה. לא נשיקה כפי שהייתה מנשקת את אימא, אלא נשיקה בפה. חשה תחושה מוזרה. סגרה את הפה כי זה היה לה מאוד לא נעים. זה קרה בשתי הזדמנויות – פעם אחת הנאשם נישק אותה ופעם נוספת זה קרה בזמן שניסה להכניס את איבר מינו לאיבר מינה (עמ' 59-61). </w:t>
            </w:r>
          </w:p>
          <w:p w:rsidR="00A959A2" w:rsidRDefault="00A959A2" w:rsidP="00A959A2">
            <w:pPr>
              <w:pStyle w:val="a"/>
              <w:numPr>
                <w:ilvl w:val="0"/>
                <w:numId w:val="0"/>
              </w:numPr>
              <w:tabs>
                <w:tab w:val="left" w:pos="720"/>
              </w:tabs>
              <w:ind w:left="720"/>
              <w:jc w:val="both"/>
              <w:rPr>
                <w:rtl/>
              </w:rPr>
            </w:pPr>
            <w:r>
              <w:rPr>
                <w:rFonts w:hint="cs"/>
                <w:rtl/>
              </w:rPr>
              <w:t xml:space="preserve">בחקירתה הנגדית נשאלה על תיאורה כי הנאשם פתח את חגורת מכנסיו בעת ביצוע המעשים, אף שהאירועים המתוארים היו בעת ששכבו במיטה לפני שנת לילה. היא הסבירה כי המעשים היו מתרחשים בלילה כשהוא טרם החליף את בגדיו לפיג'מה, אינה זוכרת מה לבש בשינה, אך זוכרת שתמיד הייתה לו חגורה במכנסיו, אך לא בעת שישן (עמ' 81-82; 83). זוכרת פעמים רבות שבמהלכן הוריד את החגורה ויתכן שבחלק מהפעמים לא היה עם חגורה. אינה זוכרת כל מקרה ומקרה לפרטי פרטים (עמ' 85). רוב הזמן לבש מכנסי ג'ינס וחגורה, יש פעמים שלא ראתה חגורה ובשל חלוף הזמן אינה זוכרת (עמ' 98). כאשר נשאלה על כך שסבתה העידה שהנאשם היה תמיד נרדם לפניה, השיבה כי הנאשם היה עושה עצמו ישן עד שהסבתא הייתה נרדמת. יתכן שהיה נרדם ומתעורר בהמשך, אינה זוכרת במדויק. היה מבצע את מעשיו לאחר שהסבתא נרדמה. זוכרת שהנאשם היה משחק בטלפון הנייד שלו עד שסבתה הייתה נרדמת (עמ' 82-83). הסבתה מעולם לא התעוררה בעת מעשיו של הנאשם. א.א השיבה כי לא חששה שהסבתא תתעורר, ולא חשבה על כלום בזמן האירועים, במצב כזה חוותה סערת רגשות ולחץ, עשתה כל מה שהוא הורה לה לעשות, לא עצמה את עיניה. הנאשם לא דיבר, הוא נטל את ידה ועשה תנועות של למעלה ולמטה על איבר מינו (עמ' 90-91). כשנשאלה על כך שסבתה מסרה בחקירה כי א.א הייתה ישנה לצידה ולא במרכז המיטה, השיבה כי רק לאחר שהסתיימו הפגיעות היא הייתה ישנה לצד הסבתא וכי היו מצבים בהם ישנה במיטתם והנאשם לא פגע בה (עמ' 84; 93;98). כאשר נשאלה על כך שסבתה העידה כי היא הייתה מרדימה אותה ואז חוזרת לסלון עם הנאשם השיבה שאינה זוכרת (עמ' 99).   </w:t>
            </w:r>
          </w:p>
          <w:p w:rsidR="00A959A2" w:rsidRDefault="00A959A2" w:rsidP="00A959A2">
            <w:pPr>
              <w:pStyle w:val="a"/>
              <w:numPr>
                <w:ilvl w:val="0"/>
                <w:numId w:val="0"/>
              </w:numPr>
              <w:tabs>
                <w:tab w:val="left" w:pos="720"/>
              </w:tabs>
              <w:ind w:left="720"/>
              <w:jc w:val="both"/>
              <w:rPr>
                <w:rtl/>
              </w:rPr>
            </w:pPr>
            <w:r>
              <w:rPr>
                <w:rFonts w:hint="cs"/>
                <w:rtl/>
              </w:rPr>
              <w:t>בחקירתה הנגדית השיבה כי אינה זוכרת אם לבשה מכנסיים ארוכים או קצרים, בחלק מהפעמים היא הייתה מורידה לעצמה את המכנסיים והתחתונים, לעיתים הנאשם היה מוריד לה. התקשתה להשיב לשאלה מדוע הוריד לה את המכנסיים עד לברכיים באופן שמקשה על ביצוע העבירות, כך זוכרת את הדברים. לבשה מכנסי פיג'מה או טייץ. לרוב הייתה ישנה עם מכנסיים קצרים, לא זוכרת במדויק (עמ' 74-75;86).</w:t>
            </w:r>
          </w:p>
          <w:p w:rsidR="00A959A2" w:rsidRDefault="00A959A2" w:rsidP="00A959A2">
            <w:pPr>
              <w:pStyle w:val="a"/>
              <w:numPr>
                <w:ilvl w:val="0"/>
                <w:numId w:val="0"/>
              </w:numPr>
              <w:tabs>
                <w:tab w:val="left" w:pos="720"/>
              </w:tabs>
              <w:ind w:left="720"/>
              <w:jc w:val="both"/>
              <w:rPr>
                <w:rtl/>
              </w:rPr>
            </w:pPr>
            <w:r>
              <w:rPr>
                <w:rFonts w:hint="cs"/>
                <w:rtl/>
              </w:rPr>
              <w:t xml:space="preserve">כאשר נשאלה כיצד הנאשם יכול היה לבצע את המעשים בעודו שוכב מעליה כאשר הסבתא ישנה בסמוך, ובפרט שבשנת 2011 עבר אירוע מוחי בגינו גופו לא היה מספיק יציב כדי להיות בתנוחה שכזו שמחייבת הישענות על הידיים, השיבה שאינה זוכרת שהנאשם עבר אירוע מוחי. בהקשר זה יצוין כי בשנת 2011, שבה נטען שהנאשם עבר </w:t>
            </w:r>
            <w:r>
              <w:rPr>
                <w:rFonts w:hint="cs"/>
                <w:rtl/>
              </w:rPr>
              <w:lastRenderedPageBreak/>
              <w:t xml:space="preserve">אירוע מוחי, א.א הייתה בת 3, ולכן בוודאי שלא ידעה זאת. א.א העידה שאינה זוכרת היכן הניח את ידיו כאשר שכב עליה. זוכרת בוודאות שהם היו בביתה הוא שכב עליה. בפעמים הראשונות היא עלתה עליו והוא לא עלה עליה. זוכרת שזה לא היה לה נעים כי הוא כבד יחסית והיא הייתה ילדה קטנה (עמ' 75-77). זה קרה המון פעמים, לא זוכרת כל מקרה בפני עצמו וביחס לתנוחות הגוף (עמ' 82). </w:t>
            </w:r>
          </w:p>
          <w:p w:rsidR="00A959A2" w:rsidRDefault="00A959A2" w:rsidP="00A959A2">
            <w:pPr>
              <w:pStyle w:val="a"/>
              <w:jc w:val="both"/>
              <w:rPr>
                <w:rtl/>
              </w:rPr>
            </w:pPr>
            <w:r>
              <w:rPr>
                <w:rFonts w:hint="cs"/>
                <w:rtl/>
              </w:rPr>
              <w:t xml:space="preserve">גם בחקירות הילדים תיארה א.א באופן דומה את הפגיעות שנעשו על ידי הנאשם בזמן שישנה בביתו ובבית סבתה (אישום 7). תיארה שנהגה לישון במיטתם בין סבתה לבין הנאשם וכאשר סבתה הייתה נרדמת הנאשם היה נוגע באיבר מינה, אמר לה לגעת באיבר מינו. "זה קרה הרבה פעמים, כאילו כל פעם שהיה הזדמנות באמת" (ת/5 עמ' 4 ש' 29). מעשיו היו חוזרים על עצמם באותה צורה בכל פעם (עמ' 18). "ואז הוא היה עושה איתי כמו להביא ילדים" (ת/5 עמ' 18 ש' 28; ת/6 עמ' 4-5). לעיתים הייתה צובטת את סבתה כדי שתתעורר ותראה, אך הסבתא חשבה שהיא מעירה אותה כדי שתפסיק לנחור והמשיכה לישון (ת/5 עמ' 18-19). היה מוריד את החגורה שלו ואומר לה לגעת בו. לוקח את ידה. תחילה נוגע באיבר מינה מעל למכנסיים ולאט הכניס את ידו לתוך מכנסיה, והכניס את אצבעותיו לאיבר מינה (ת/6 עמ' 19). לא רצתה שזה יקרה, חשה לא נעים. הניע את אצבעו מלמעלה למטה (ת/5 עמ' 20-21; ת/6 עמ' 5). לפעמים מעשיו אלו גרמו לה לכאב. לא ירד לה דם בעקבות המעשים. "הוא פשוט כל הזמן מנסה להכניס לי אצבעות" (ת/5 עמ' 22 ש' 37; ת/6 עמ' 23). היה מרים את רגלה עם ידו ומתחיל לגעת באיבר מינה, בתחילה מעל למכנסיה ואז לאט מכניס את ידו מתחת לבגדיה (ת/6 עמ' 9). השכיב אותה עליו בעודו שוכב על גבו. ניסה להכניס את איבר המין שלו לאיבר מינה והחל לנשקה. כיוון את איבר מינו באמצעות ידיו אך לא הצליח (ת/6 עמ' 6). חשה את איבר מינו קרוב לאיבר מינה. לא ידעה שהוא לא הצליח להחדיר את איבר מינו לאיבר מינה עד שערכו לה בדיקה וקבעו כך, וגם הבינה בעצמה שאיבר מינה קטן ושל הנאשם גדול (ת/6 עמ' 7; עמ' 23). היא הייתה שוכבת עליו והנאשם כיוון את איבר המין שלו בעזרת ידו (ת/6 עמ' 20-21). אינה זוכרת אם הורידה את מכנסיה עד הסוף או עד לגובה הברך, שניהם נותרו לבושי חולצות (ת/6 עמ' 21-22). במקרה שבו צבטה את סבתה, הנאשם פתח את רגלה והחל לגעת באיבר מינה מעל המכנס, לאט הכניס את ידו מתחת למכנסיה והניע את ידו למעלה למטה על איבר מינה. לקראת סוף תקופת הפגיעות שהבינה שמשהו לא בסדר, החליטה לנסות להעיר את סבתה כך שצבטה אותה אך הסבתא רק הפסיקה לנחור והמשיכה לישון. ניסתה מספר פעמים לצבוט אותה אך לעיתים לא הצליחה להגיע אליה וחששה שהנאשם יבחין במעשיה (ת/6 עמ' 16; עמ' 19-20). </w:t>
            </w:r>
          </w:p>
          <w:p w:rsidR="00A959A2" w:rsidRDefault="00A959A2" w:rsidP="00A959A2">
            <w:pPr>
              <w:pStyle w:val="a"/>
              <w:numPr>
                <w:ilvl w:val="0"/>
                <w:numId w:val="0"/>
              </w:numPr>
              <w:tabs>
                <w:tab w:val="left" w:pos="720"/>
              </w:tabs>
              <w:ind w:left="720"/>
              <w:jc w:val="both"/>
              <w:rPr>
                <w:rtl/>
              </w:rPr>
            </w:pPr>
            <w:r>
              <w:rPr>
                <w:rFonts w:hint="cs"/>
                <w:rtl/>
              </w:rPr>
              <w:t>במהלך שני מקרים הנאשם נישק אותה על שפתיה "זאת הייתה נשיקה מוזרה כזאת... לא יודעת איך להסביר את זה, זה לא היה נשיקה נגיד כמו שאימא מנשקת אותי" (ת/5 עמ' 29 ש' 36-38). זוכרת שזה קרה פעמיים, באחת הפעמים שהוא החל לגעת באיבר מינה ו"עשה כאילו מביאים ילדים לעולם" הנאשם החל לנשק אותה כאשר היו במיטה של הנאשם וסבתה (ת/6 עמ' 3, 8).</w:t>
            </w:r>
          </w:p>
          <w:p w:rsidR="00A959A2" w:rsidRDefault="00A959A2" w:rsidP="00A959A2">
            <w:pPr>
              <w:pStyle w:val="a"/>
              <w:numPr>
                <w:ilvl w:val="0"/>
                <w:numId w:val="0"/>
              </w:numPr>
              <w:tabs>
                <w:tab w:val="left" w:pos="720"/>
              </w:tabs>
              <w:ind w:left="720"/>
              <w:jc w:val="both"/>
              <w:rPr>
                <w:rtl/>
              </w:rPr>
            </w:pPr>
            <w:r>
              <w:rPr>
                <w:rFonts w:hint="cs"/>
                <w:rtl/>
              </w:rPr>
              <w:t xml:space="preserve">א.א שבה ותארה כי בתחילת המעשים, הנאשם הסיר את חגורתו. כאשר נשאלה מדוע לבש חגורה בעת שהלך לישון, א.א השיבה שאינה יודעת (ת/6 עמ' 22). </w:t>
            </w:r>
          </w:p>
          <w:p w:rsidR="00A959A2" w:rsidRDefault="00A959A2" w:rsidP="00A959A2">
            <w:pPr>
              <w:pStyle w:val="a"/>
              <w:jc w:val="both"/>
              <w:rPr>
                <w:rtl/>
              </w:rPr>
            </w:pPr>
            <w:r>
              <w:rPr>
                <w:rFonts w:hint="cs"/>
                <w:b/>
                <w:bCs/>
                <w:u w:val="single"/>
                <w:rtl/>
              </w:rPr>
              <w:t>אישום 8 (בביתה של א.א)</w:t>
            </w:r>
            <w:r>
              <w:rPr>
                <w:rFonts w:hint="cs"/>
                <w:b/>
                <w:bCs/>
                <w:rtl/>
              </w:rPr>
              <w:t xml:space="preserve"> </w:t>
            </w:r>
            <w:r>
              <w:rPr>
                <w:rFonts w:hint="cs"/>
                <w:rtl/>
              </w:rPr>
              <w:t xml:space="preserve">– היה מקרה שבו הנאשם הגיע לביתם כדי לשמור עליה ועל אחיה כאשר הוריהם לא היו בבית. היא קמה ממיטתה כדי לשתות מים והלכה לסלון, שם ישב הנאשם ישב בטלוויזיה. הנאשם קרא לה לשבת לידו, הכניס את ידו מתחת למכנסיה ותחתוניה ונגע באיבר מינה. עשה תנועות של למעלה למטה. א.א אמרה לו שיש לה דלקת ושזה כואב לה ושהיא לא יכולה שהנאשם יגע באיבר מינה והנאשם חדל את מעשיו. לא הייתה </w:t>
            </w:r>
            <w:r>
              <w:rPr>
                <w:rFonts w:hint="cs"/>
                <w:rtl/>
              </w:rPr>
              <w:lastRenderedPageBreak/>
              <w:t>לה דלקת, היא אמרה כך כדי שיפסיק את מעשיו. השעה היתה מאוחרת ולכן קמה והלכה לישון במיטתה. לאחר מכן, בא הנאשם למיטתה, הוריד את החגורה ואת מכנסיו עד לברכיים, הוריד את מכנסייה עד לברכיים ועלה עליה כך ששכבו בטן לבטן בעוד היא שוכבת על גבה. הנאשם ניסה להכניס את איבר מינו לאיבר מינה. אחרי זמן מה הפך אותם כך שהוא שכב על גבו והיא שכבה עליו ושוב ניסה להכניס את איבר מינו לאיבר מינה. לא זוכרת מדוע חדל ממעשיו, הוא הרים את מכנסיו וכך עשתה גם היא, והנאשם נתן לה 20 ₪. לא הבינה מדוע נתן לה כסף. היום מבינה שהוא רצה לפצות אותה ולהעביר לה מסר שאם יקרו דברים כאלה היא תקבל כסף או דברים אחרים. תמיד כשרצתה דברים הוא היה הראשון שקנה לה (עמ' 54-55). בחקירה הנגדית העידה כי אינה זוכרת בת כמה הייתה באותו מועד והאם אחותה הקטנה נולדה כבר.</w:t>
            </w:r>
          </w:p>
          <w:p w:rsidR="00A959A2" w:rsidRDefault="00A959A2" w:rsidP="00A959A2">
            <w:pPr>
              <w:pStyle w:val="a"/>
              <w:jc w:val="both"/>
            </w:pPr>
            <w:r>
              <w:rPr>
                <w:rFonts w:hint="cs"/>
                <w:rtl/>
              </w:rPr>
              <w:t>גם בחקירות הילדים תיארה א.א באופן דומה את האירוע שקרה בעת שהנאשם הגיע לשמור עליה ועל אחיה בביתם (אישום 8). הוא ניסה לגעת באיבר מינה כאשר אחיה ישנו והיא צפתה בטלוויזיה והיא אמרה לו שיש לה דלקת כי היא לא רצתה שימשיך. חשבה על תירוץ להגיד לו כאשר נגע באיבר מינה מעל לבגדיה והחליטה להגיד לו שיש לה דלקת (ת/5 עמ' 5; 13). הוא פסק ממעשיו אך לאחר שעה המשיך. הגיע למיטה שלה וניסה "כמו שמביאים ילדים לעולם" (ת/5 עמ' 5 ש' 8). כשהתבקשה להסביר את כוונתה, אמרה שאינה זוכרת ומובכת, אך לבסוף הבהירה שכוונתה שהנאשם ניסה להכניס את איבר מינו לאיבר מינה. הוסיפה שהוא לא הצליח כי היא הייתה קטנה. הוא שכב על המיטה והיא הייתה מעליו. כיוון את איבר מינו עם ידו (ת/5 עמ' 11). בעת שכיוון את איבר מינו היה אומר לה לזוז כדי לכוון (ת/6 עמ' 30). הוריד את מכנסיו ותחתוניו ואמר לה להסיר את תחתוניה (ת/5 עמ' 5-8; 13). הנאשם הפסיק את מעשיו כאשר הוריה היו אמורים לשוב הביתה. שללה שחשה כאב (ת/5 עמ' 11). בסוף אותו המקרה נתן לה 20 ₪ לא יודעת אם זה קשור למעשיו. באופן כללי הנאשם נהג לקנות לה דברים שהיא אוהבת (ת/6 עמ' 40-41).</w:t>
            </w:r>
          </w:p>
          <w:p w:rsidR="00A959A2" w:rsidRDefault="00A959A2" w:rsidP="00A959A2">
            <w:pPr>
              <w:pStyle w:val="a"/>
              <w:numPr>
                <w:ilvl w:val="0"/>
                <w:numId w:val="0"/>
              </w:numPr>
              <w:tabs>
                <w:tab w:val="left" w:pos="720"/>
              </w:tabs>
              <w:ind w:left="720" w:hanging="720"/>
              <w:jc w:val="both"/>
              <w:rPr>
                <w:b/>
                <w:bCs/>
                <w:u w:val="single"/>
              </w:rPr>
            </w:pPr>
            <w:r>
              <w:rPr>
                <w:rFonts w:hint="cs"/>
                <w:b/>
                <w:bCs/>
                <w:u w:val="single"/>
                <w:rtl/>
              </w:rPr>
              <w:t>הפסקת הפגיעות</w:t>
            </w:r>
          </w:p>
          <w:p w:rsidR="00A959A2" w:rsidRDefault="00A959A2" w:rsidP="00A959A2">
            <w:pPr>
              <w:pStyle w:val="a"/>
              <w:jc w:val="both"/>
            </w:pPr>
            <w:r>
              <w:rPr>
                <w:rFonts w:hint="cs"/>
                <w:rtl/>
              </w:rPr>
              <w:t xml:space="preserve">א.א העידה שכאשר ישנה אצל סבתה והנאשם, כמו בכל פעם, הנאשם בא לגעת באיבר מינה אך באותה פעם היא לא הסכימה, אמרה לו שהיא עייפה והזיזה את ידו. יום למחרת "עשה לי ככה עם העיניים וזה הפחיד אותי" (עמ' 62 ש' 29-30). מאז המעשים פסקו. זו הייתה הפעם הראשונה שביצעה פעולה פיזית כלפיו שמראה שהיא לא רוצה במעשיו (עמ' 63). </w:t>
            </w:r>
          </w:p>
          <w:p w:rsidR="00A959A2" w:rsidRDefault="00A959A2" w:rsidP="00A959A2">
            <w:pPr>
              <w:pStyle w:val="a"/>
              <w:numPr>
                <w:ilvl w:val="0"/>
                <w:numId w:val="0"/>
              </w:numPr>
              <w:tabs>
                <w:tab w:val="left" w:pos="720"/>
              </w:tabs>
              <w:ind w:left="720"/>
              <w:jc w:val="both"/>
              <w:rPr>
                <w:rtl/>
              </w:rPr>
            </w:pPr>
            <w:r>
              <w:rPr>
                <w:rFonts w:hint="cs"/>
                <w:rtl/>
              </w:rPr>
              <w:t xml:space="preserve">הבית של סבתה והנאשם היה מעין בית שני עבורה, הייתה מגיעה לשם פעמים רבות (עמ' 58). הנאשם הוא דמות חשובה בחייה, ראתה שהוריה סומכים עליו, ולכן גם היא סמכה עליו. מעשיו מאוד בלבלו אותה. החלה להבין שמשהו לא בסדר כי בכיתה שלה החלו לדבר על איך מביאים ילדים לעולם (עמ' 60).  </w:t>
            </w:r>
          </w:p>
          <w:p w:rsidR="00A959A2" w:rsidRDefault="00A959A2" w:rsidP="00A959A2">
            <w:pPr>
              <w:pStyle w:val="a"/>
              <w:numPr>
                <w:ilvl w:val="0"/>
                <w:numId w:val="0"/>
              </w:numPr>
              <w:tabs>
                <w:tab w:val="left" w:pos="720"/>
              </w:tabs>
              <w:ind w:left="720"/>
              <w:jc w:val="both"/>
              <w:rPr>
                <w:rtl/>
              </w:rPr>
            </w:pPr>
            <w:r>
              <w:rPr>
                <w:rFonts w:hint="cs"/>
                <w:rtl/>
              </w:rPr>
              <w:t>כאשר אחותה הקטנה נולדה, הנאשם וסבתה קנו ספה נפתחת, כך שההורים ישנו בחדר נפרד, היא ואחיה ישנו על הספה החדשה ואחותה התינוקת ישנה במיטה של הסבתא והנאשם. היא חששה שהנאשם יפגע גם באחותה ולכן בלילות הייתה מציצה לחדר השינה כדי לראות שהכל בסדר (עמ' 65).</w:t>
            </w:r>
          </w:p>
          <w:p w:rsidR="00A959A2" w:rsidRDefault="00A959A2" w:rsidP="00A959A2">
            <w:pPr>
              <w:pStyle w:val="a"/>
              <w:jc w:val="both"/>
              <w:rPr>
                <w:rtl/>
              </w:rPr>
            </w:pPr>
            <w:r>
              <w:rPr>
                <w:rFonts w:hint="cs"/>
                <w:rtl/>
              </w:rPr>
              <w:t xml:space="preserve">גם בחקירת הילדים תיארה א.א באופן דומה את הפסקת המעשים. היא מסרה שבשלב כלשהו הבינה שזה לא בסדר, חבריה דיברו על זה שאנשים עושים דברים כאלה מרצון. לא זוכרת את גילה באותה עת. יום אחד כשישנה אצל הנאשם וסבתה, הנאשם בא לעשות את מה שתמיד עושה והיא הסתובבה ועשתה עצמה ישנה. הוא דפק על </w:t>
            </w:r>
            <w:r>
              <w:rPr>
                <w:rFonts w:hint="cs"/>
                <w:rtl/>
              </w:rPr>
              <w:lastRenderedPageBreak/>
              <w:t xml:space="preserve">ידה כדי לקרוא לה, אך היא הזיזה את ידה. הוא הבין והלך לישון. היא לא הצליחה להירדם כל אותו הלילה. למחרת חשה שכועס עליה אף שלא אמר דבר (ת/5 עמ' 5; עמ' 26-27). הנאשם הבין מבלי שאמרה לו להפסיק (ת/6 עמ' 34). הנאשם לא אמר לה שמעשיו הם סוד ושאסור לה לספר (ת/6 עמ' 34). </w:t>
            </w:r>
          </w:p>
          <w:p w:rsidR="00A959A2" w:rsidRDefault="00A959A2" w:rsidP="00A959A2">
            <w:pPr>
              <w:pStyle w:val="a"/>
              <w:numPr>
                <w:ilvl w:val="0"/>
                <w:numId w:val="0"/>
              </w:numPr>
              <w:tabs>
                <w:tab w:val="left" w:pos="720"/>
              </w:tabs>
              <w:ind w:left="720"/>
              <w:jc w:val="both"/>
              <w:rPr>
                <w:rtl/>
              </w:rPr>
            </w:pPr>
            <w:r>
              <w:rPr>
                <w:rFonts w:hint="cs"/>
                <w:rtl/>
              </w:rPr>
              <w:t xml:space="preserve">הסבירה שאינה זוכרת את גילה בעת האירועים השונים אך זוכרת את מקום המגורים המתחלפים של הנאשם וסבתה. </w:t>
            </w:r>
          </w:p>
          <w:p w:rsidR="00A959A2" w:rsidRDefault="00A959A2" w:rsidP="00A959A2">
            <w:pPr>
              <w:pStyle w:val="a"/>
              <w:jc w:val="both"/>
              <w:rPr>
                <w:rtl/>
              </w:rPr>
            </w:pPr>
            <w:r>
              <w:rPr>
                <w:rFonts w:hint="cs"/>
                <w:rtl/>
              </w:rPr>
              <w:t xml:space="preserve">א.א התייחסה בחקירות הילדים גם להתרחשויות לאחר שהמעשים פסקו. כאשר הבינה שהנאשם עשה מעשים חמורים, התרחקה ממנו, ניסתה כמה שפחות לדבר איתו, ציפתה שהוא יבין רמזים, אך הנאשם המשיך לדבר איתה כאילו לא קרה דבר. הוא לא שוחח עמה על המעשים ולא אמר לה לא לספר אודותיהם (ת/5 עמ' 34). </w:t>
            </w:r>
          </w:p>
          <w:p w:rsidR="00A959A2" w:rsidRDefault="00A959A2" w:rsidP="00A959A2">
            <w:pPr>
              <w:pStyle w:val="a"/>
              <w:numPr>
                <w:ilvl w:val="0"/>
                <w:numId w:val="0"/>
              </w:numPr>
              <w:tabs>
                <w:tab w:val="left" w:pos="720"/>
              </w:tabs>
              <w:ind w:left="720"/>
              <w:jc w:val="both"/>
              <w:rPr>
                <w:rtl/>
              </w:rPr>
            </w:pPr>
            <w:r>
              <w:rPr>
                <w:rFonts w:hint="cs"/>
                <w:rtl/>
              </w:rPr>
              <w:t xml:space="preserve">לאחר שהמעשים פסקו, חששה שהנאשם יפגע באחותה הקטנה, וכן בפעמים שאחותה הלכה לישון אצל הנאשם וסבתה, היא ביקשה לבוא לישון שם כדי לראות שלא קורים דברים. הייתה מציעה לאחותה לישון ביחד איתה, אבל אחותה רצתה לישון במיטה עם סבתא. ניסתה להקשיב לדיבורים ביניהם ולהציץ בחדר. אם הם היו רואים אותה הייתה אומרת לילה טוב והולכת כדי לא לעורר חשד (ת/6 עמ' 35). </w:t>
            </w:r>
          </w:p>
          <w:p w:rsidR="00A959A2" w:rsidRDefault="00A959A2" w:rsidP="00A959A2">
            <w:pPr>
              <w:pStyle w:val="a"/>
              <w:numPr>
                <w:ilvl w:val="0"/>
                <w:numId w:val="0"/>
              </w:numPr>
              <w:tabs>
                <w:tab w:val="left" w:pos="720"/>
              </w:tabs>
              <w:ind w:left="720"/>
              <w:jc w:val="both"/>
              <w:rPr>
                <w:rtl/>
              </w:rPr>
            </w:pPr>
            <w:r>
              <w:rPr>
                <w:rFonts w:hint="cs"/>
                <w:rtl/>
              </w:rPr>
              <w:t xml:space="preserve">כאשר נשאלה מה תהיה תגובתה אם הנאשם יכחיש שעשה את המעשים, השיבה שתהיה בהלם ותחוש כעס, ".. אין לי הוכחות לבוא... אבל בתוך ליבו הוא בטוח יודע שזה קרה" (ת/5 עמ' 35 ש' 14-15). </w:t>
            </w:r>
          </w:p>
          <w:p w:rsidR="00A959A2" w:rsidRDefault="00A959A2" w:rsidP="00A959A2">
            <w:pPr>
              <w:pStyle w:val="a"/>
              <w:numPr>
                <w:ilvl w:val="0"/>
                <w:numId w:val="0"/>
              </w:numPr>
              <w:tabs>
                <w:tab w:val="left" w:pos="720"/>
              </w:tabs>
              <w:ind w:left="720" w:hanging="720"/>
              <w:jc w:val="both"/>
              <w:rPr>
                <w:b/>
                <w:bCs/>
                <w:u w:val="single"/>
                <w:rtl/>
              </w:rPr>
            </w:pPr>
            <w:r>
              <w:rPr>
                <w:rFonts w:hint="cs"/>
                <w:b/>
                <w:bCs/>
                <w:u w:val="single"/>
                <w:rtl/>
              </w:rPr>
              <w:t>חשיפת הפגיעות</w:t>
            </w:r>
          </w:p>
          <w:p w:rsidR="00A959A2" w:rsidRDefault="00A959A2" w:rsidP="00A959A2">
            <w:pPr>
              <w:pStyle w:val="a"/>
              <w:jc w:val="both"/>
              <w:rPr>
                <w:rtl/>
              </w:rPr>
            </w:pPr>
            <w:r>
              <w:rPr>
                <w:rFonts w:hint="cs"/>
                <w:rtl/>
              </w:rPr>
              <w:t>בעדותה תיארה א.א בפירוט רב את התהליך של חשיפת הפגיעות. היא סיפרה תחילה לחברותיה כיוון שבאותה התקופה אימה הרבתה להיעדר מהבית בגלל המצב הרפואי של אחותה. עברה תקופה קשה גם בלימודים וגם מבחינה חברתית ורגשית והחליטה לשתף חברה טובה. בהמשך שוחחה עם אותה חברה על הצורך לשתף את הוריה, וחברה נוספת הצטרפה לשיחה והיא סיפרה גם לה. מאז שהחברה השנייה שמעה על הפגיעות, מידי יום שבה ואמרה לה לספר לאימה. באחד הימים התקשרה א.א לאימה מבית הספר ביום שידעה שהיא פנויה ואמרה לה שמבקשת לשוחח עמה לאחר שתשוב מבית הספר. חברתה באה איתה לקיים את השיחה ביחד. כאשר הגיעו הביתה, נמלכה בדעתה ולא רצתה לספר לאימה, אולם חברתה שבה ושכנעה אותה שמאוד חשוב שהוריה ידעו מהפגיעות. החברה אמרה לאימה שלא.א יש דבר מה לספר לה, ואז א.א סיפרה לאם על אודות הפגיעות. הייתה מאוד מובכת לספר, ואימה הגיבה בתדהמה (עמ' 50-51). לא סיפרה לפני כן לאימה כי זו הייתה תקופה קשה שהאם הייתה בבית חולים עם אחותה ולכן ספרה לחברה קרובה. פחדה שלא יאמינו לה מפני שהנאשם הוא אדם מאוד חשוב ומאוד קרוב למשפחתה. סבורה כי אלמלא חברתה לחצה עליה וממש הכריחה אותה לספר, יתכן שלא הייתה מספרת לאימה על אודות הפגיעות. תכננה לספר לאימה רק לאחר שהנאשם ימות (עמ' 63-64; 65). אחרי שסיפרה, חשה שחרור והקלה (עמ' 64).</w:t>
            </w:r>
          </w:p>
          <w:p w:rsidR="00A959A2" w:rsidRDefault="00A959A2" w:rsidP="00A959A2">
            <w:pPr>
              <w:pStyle w:val="a"/>
              <w:jc w:val="both"/>
              <w:rPr>
                <w:rtl/>
              </w:rPr>
            </w:pPr>
            <w:r>
              <w:rPr>
                <w:rFonts w:hint="cs"/>
                <w:rtl/>
              </w:rPr>
              <w:t xml:space="preserve">א.א השיבה בחקירתה הנגדית כי גם כאשר אימה סיפרה לה על אודות סוכן דוגמניות שאנס דוגמנית שלו וכי עליה עצמה להיזהר, לא מצאה לנכון לספר לה על הפגיעות שעברה, כיוון שהדחיקה זאת. גם בבית הספר שוחחו עם התלמידים על דברים כאלה וראתה סרטונים שמעודדים לפנות למוקד מתאים, אך היא לא קישרה את הדברים ששמעה אליה. יחסיה עם אימה ועם סבתה מצוינים. </w:t>
            </w:r>
          </w:p>
          <w:p w:rsidR="00A959A2" w:rsidRDefault="00A959A2" w:rsidP="00A959A2">
            <w:pPr>
              <w:pStyle w:val="a"/>
              <w:numPr>
                <w:ilvl w:val="0"/>
                <w:numId w:val="0"/>
              </w:numPr>
              <w:tabs>
                <w:tab w:val="left" w:pos="720"/>
              </w:tabs>
              <w:ind w:left="720"/>
              <w:jc w:val="both"/>
              <w:rPr>
                <w:rtl/>
              </w:rPr>
            </w:pPr>
            <w:r>
              <w:rPr>
                <w:rFonts w:hint="cs"/>
                <w:rtl/>
              </w:rPr>
              <w:lastRenderedPageBreak/>
              <w:t xml:space="preserve">אישרה שהנאשם מעולם לא איים עליה או אמר לה שמעשיו הם בגדר סוד (עמ' 91; 101). שבה והסבירה כי לא שיתפה את הוריה כיוון שחששה שלא יאמינו לה מפני הנאשם היה אדם שמאוד סמכו עליו. בעצמה הדחיקה את הנושא וחשבה "שזה בסדר, גם אני סמכתי עליו" (עמ' 91 ש' 16). גם כאשר דיברו עם התלמידים בבית הספר על פגיעות שנעשות על ידי זרים, חשבה שאם הנאשם הוא סבה, אז זה כנראה בסדר. היה לה חוסר ידע והתביישה לשאול בנושא. הייתה מבולבלת בכל הקשור למה מותר ומה אסור. העובדה שהנאשם לא אמר לה שזה סוד, עוד יותר בלבלה אותה. הדחיקה את הפגיעה בעיקר כאשר דיברו סביבה על פגיעות מיניות (עמ' 91-92). </w:t>
            </w:r>
          </w:p>
          <w:p w:rsidR="00A959A2" w:rsidRDefault="00A959A2" w:rsidP="00A959A2">
            <w:pPr>
              <w:pStyle w:val="a"/>
              <w:numPr>
                <w:ilvl w:val="0"/>
                <w:numId w:val="0"/>
              </w:numPr>
              <w:tabs>
                <w:tab w:val="left" w:pos="720"/>
              </w:tabs>
              <w:ind w:left="720"/>
              <w:jc w:val="both"/>
              <w:rPr>
                <w:rtl/>
              </w:rPr>
            </w:pPr>
            <w:r>
              <w:rPr>
                <w:rFonts w:hint="cs"/>
                <w:rtl/>
              </w:rPr>
              <w:t xml:space="preserve">לא ביקשה לישון אצל סבתה, בחופשים הייתה ישנה ביחד עם אחיה בביתם. לאחר שהמעשים פסקו הייתה ישנה בסלון עם אחיה או עם אחותה. מאוד אהבה להיות בביתם של הנאשם וסבתה. כאשר המעשים קרו, בתחילה חשבה שזה בסדר אבל גם כאשר הבינה שזה לא בסדר, המשיכה להגיע ולישון בביתם כי לא חשבה שזה כל כך חמור (עמ' 70-72). </w:t>
            </w:r>
          </w:p>
          <w:p w:rsidR="00A959A2" w:rsidRDefault="00A959A2" w:rsidP="00A959A2">
            <w:pPr>
              <w:pStyle w:val="a"/>
              <w:jc w:val="both"/>
              <w:rPr>
                <w:rtl/>
              </w:rPr>
            </w:pPr>
            <w:r>
              <w:rPr>
                <w:rFonts w:hint="cs"/>
                <w:rtl/>
              </w:rPr>
              <w:t xml:space="preserve">א.א תיארה בחקירות הילדים באופן דומה את חשיפת הפגיעות. היא מסרה ששיתפה בדבר הפגיעות את חברתה הטובה ושתי חברות נוספות, והסבירה שעשתה כן "כי הייתי חייבת באיזשהו מצב לשחרר את זה כי החזקתי את זה הרבה שנים, וגם זה קשה לראות אותו כל פעם ולהתנהג כאילו לא קרה כלום" (ת/5 עמ' 27 ש' 7-8). זו הייתה תקופה קשה עבורה כאשר אחותה אושפזה בבית החולים ואימה הייתה לצד האחות וחסרה לה (ת/6 עמ' 38). לא רצתה לשתף את משפחתה, רצתה להמתין עד שהוא ימות ואז לספר על אודות מעשיו. חברתה הטובה היא זאת שגרמה לה לספר לאימה. הסבירה לה שמדובר בדבר חמור ושעליה לשתף את אימה. סיפרה לחברתה שבן הזוג של סבתה נוגע בה למרות שהיא לא רוצה בכך, סיפרה על כל שקרה אך באופן פחות מפורט – שהנאשם נגע באיבר מינה והכריח אותה לגעת באיבר מינו, שהם עשו "כאילו כמו להביא ילדים לעולם" ושזה לא נעים לה. אמרה לה שתבוא איתה לספר לאימה ושהגיעו אמרה לאימה שהיא רוצה לספר לה משהו. כששיתפה את אימה סיפרה לה הכל, כולל הפרטים שלא סיפרה לחברתה. אימה הגיבה בבכי, ואמרה שהנאשם היה בשבילה כאב ושעליו להיענש על מעשיו. אימה תמיד הזהירה אותה מפני פגיעות מיניות (ת/5 עמ' 27-28). לשתי החברות הנוספות סיפרה באופן כללי רק שבן הזוג של סבתה נוגע באיבר מינה ואומר לה לגעת באיבר מינו וכן "שהוא עשה לי כמו להביא ילדים לעולם שזה קרה ממש מזמן שהייתי קטנה" (ת/5 עמ' 29 ש' 4-5). פחדה לספר לאימה כי היא תמיד הזהירה אותה וחששה שהיא תכעס עליה או שתשאל מדוע לא שיתפה אותה קודם לכן (ת/5 עמ' 33). סיפרה לחברותיה כי רצתה לראות את תגובתן, האם הן מאמינות לה, כיוון שחששה שאימה לא תאמין לה (ת/6 עמ' 38). </w:t>
            </w:r>
          </w:p>
          <w:p w:rsidR="00A959A2" w:rsidRDefault="00A959A2" w:rsidP="00A959A2">
            <w:pPr>
              <w:pStyle w:val="a"/>
              <w:numPr>
                <w:ilvl w:val="0"/>
                <w:numId w:val="0"/>
              </w:numPr>
              <w:tabs>
                <w:tab w:val="left" w:pos="720"/>
              </w:tabs>
              <w:ind w:left="720" w:hanging="720"/>
              <w:jc w:val="both"/>
              <w:rPr>
                <w:b/>
                <w:bCs/>
                <w:u w:val="single"/>
                <w:rtl/>
              </w:rPr>
            </w:pPr>
            <w:r>
              <w:rPr>
                <w:rFonts w:hint="cs"/>
                <w:b/>
                <w:bCs/>
                <w:u w:val="single"/>
                <w:rtl/>
              </w:rPr>
              <w:t>א.א העידה ביחס לחקירת הילדים שנערכה לה</w:t>
            </w:r>
          </w:p>
          <w:p w:rsidR="00A959A2" w:rsidRDefault="00A959A2" w:rsidP="00A959A2">
            <w:pPr>
              <w:pStyle w:val="a"/>
              <w:jc w:val="both"/>
              <w:rPr>
                <w:rtl/>
              </w:rPr>
            </w:pPr>
            <w:r>
              <w:rPr>
                <w:rFonts w:hint="cs"/>
                <w:rtl/>
              </w:rPr>
              <w:t>א.א העידה שהיא זוכרת את חקירתה בבית לין על ידי חוקרת הילדים, נירית. אישרה שאמרה בחקירתה שבדרך לחקירה אימה הסבירה לה ברכב מה היא אמורה לספר. זה היה מספר ימים לאחר שסיפרה לאֵם. בבוקר אמרו לה שנוסעים למקום בו יוכלו לעזור לה, יעבירו את הסיפור שלה הלאה. הסבירו לה לאן היא נכנסת ומה שהם יודעים. לא אמרו לה להגיד משהו, אלא רק לאן היא מגיעה. לא זוכרת שאמרה לחוקרת שאמרו לה מה לספר. ברכב נסעו עמה דודתה ואימה. הסבירה שכאשר אמרה לחוקרת שלא נתנה לדברים הרבה משמעות (ת/9 עמ' 2-3) – התכוונה לכך שלא הבינה את המשמעות ועד כמה זה נורא, כי כולם מאוד סמכו עליו (עמ' 66-69).</w:t>
            </w:r>
          </w:p>
          <w:p w:rsidR="00A959A2" w:rsidRDefault="00A959A2" w:rsidP="00A959A2">
            <w:pPr>
              <w:pStyle w:val="a"/>
              <w:numPr>
                <w:ilvl w:val="0"/>
                <w:numId w:val="0"/>
              </w:numPr>
              <w:tabs>
                <w:tab w:val="left" w:pos="720"/>
              </w:tabs>
              <w:ind w:left="720"/>
              <w:jc w:val="both"/>
              <w:rPr>
                <w:rtl/>
              </w:rPr>
            </w:pPr>
            <w:r>
              <w:rPr>
                <w:rFonts w:hint="cs"/>
                <w:rtl/>
              </w:rPr>
              <w:lastRenderedPageBreak/>
              <w:t xml:space="preserve">הסבירה כי בכך שאמרה לנאשם שיש לה דלקת או שניסתה להעיר את סבתה, הבינה שמשהו לא בסדר אבל לא חשבה שזה כל כך נורא, ושאפשר להגיע בגלל זה לבית משפט ולשבת בכלא (עמ' 69-70). </w:t>
            </w:r>
          </w:p>
          <w:p w:rsidR="00A959A2" w:rsidRDefault="00A959A2" w:rsidP="00A959A2">
            <w:pPr>
              <w:pStyle w:val="a"/>
              <w:numPr>
                <w:ilvl w:val="0"/>
                <w:numId w:val="0"/>
              </w:numPr>
              <w:tabs>
                <w:tab w:val="left" w:pos="720"/>
              </w:tabs>
              <w:ind w:left="720"/>
              <w:jc w:val="both"/>
              <w:rPr>
                <w:rtl/>
              </w:rPr>
            </w:pPr>
            <w:r>
              <w:rPr>
                <w:rFonts w:hint="cs"/>
                <w:rtl/>
              </w:rPr>
              <w:t>כאשר אמרה לחוקרת הילדים "כמו שמנסים להביא ילדים לעולם" התכוונה לכך שהנאשם ניסה להכניס את איבר מינו לאיבר מינה (עמ' 73). הסבירה שהשתמשה בביטוי הזה כיוון שהייתה מובכת בשל הצורך לתאר את המעשים. לא ידעה כיצד לתאר את הדברים. חלפו רק מספר ימים מאז שחשפה את המעשים, הייתה מאוד בלחץ ומופתעת. מאז היא דיברה על כך בטיפול כך שכיום יותר קל לה לדבר על הפגיעות (עמ' 80-81).</w:t>
            </w:r>
          </w:p>
          <w:p w:rsidR="00A959A2" w:rsidRDefault="00A959A2" w:rsidP="00A959A2">
            <w:pPr>
              <w:pStyle w:val="a"/>
              <w:numPr>
                <w:ilvl w:val="0"/>
                <w:numId w:val="0"/>
              </w:numPr>
              <w:tabs>
                <w:tab w:val="left" w:pos="720"/>
              </w:tabs>
              <w:ind w:left="720"/>
              <w:jc w:val="both"/>
              <w:rPr>
                <w:rtl/>
              </w:rPr>
            </w:pPr>
            <w:r>
              <w:rPr>
                <w:rFonts w:hint="cs"/>
                <w:rtl/>
              </w:rPr>
              <w:t xml:space="preserve">אמרה בחקירת הילדים כי בכל הזדמנות הנאשם היה נוגע בה לאחר שסבתה הייתה נרדמת וכאשר נשאלה לגבי "כל הזדמנות" לא הבינה במה מדובר. בעדותה הבהירה כי התכוונה לכך שבכל פעם שהיו לבד והייתה לנאשם הזדמנות לגעת בה, הוא נגע. כן הסבירה כי במהלך חקירת הילדים היה לה קשה להתרכז בשלב כלשהו "...זה היה כאילו איבדתי את זה, אבדתי פשוט" (עמ' 100 ש' 21). לא ביקשה הפסקה כיוון שרצתה לסיים את החקירה. לפרקים איבדה את הריכוז (עמ' 101).  </w:t>
            </w:r>
          </w:p>
          <w:p w:rsidR="00A959A2" w:rsidRDefault="00A959A2" w:rsidP="00A959A2">
            <w:pPr>
              <w:pStyle w:val="a"/>
              <w:numPr>
                <w:ilvl w:val="0"/>
                <w:numId w:val="0"/>
              </w:numPr>
              <w:tabs>
                <w:tab w:val="left" w:pos="720"/>
              </w:tabs>
              <w:ind w:left="720"/>
              <w:jc w:val="both"/>
              <w:rPr>
                <w:rtl/>
              </w:rPr>
            </w:pPr>
            <w:r>
              <w:rPr>
                <w:rFonts w:hint="cs"/>
                <w:rtl/>
              </w:rPr>
              <w:t>בהתייחסותה לדבריה בחקירה הילדים שנשאלה מספר פעמים האם הנאשם החדיר אצבעותיו לאיבר מינה ונשאלה על הכאב שחשה באיבר מינה, הבהירה בעדותה כפי שאמרה גם בחקירה שסבלה מכאב בשל דלקת בדרכי השתן ולא בשל מעשיו (עמ' 105-106).</w:t>
            </w:r>
          </w:p>
          <w:p w:rsidR="00A959A2" w:rsidRDefault="00A959A2" w:rsidP="00A959A2">
            <w:pPr>
              <w:pStyle w:val="a"/>
              <w:numPr>
                <w:ilvl w:val="0"/>
                <w:numId w:val="0"/>
              </w:numPr>
              <w:tabs>
                <w:tab w:val="left" w:pos="720"/>
              </w:tabs>
              <w:ind w:left="720" w:hanging="720"/>
              <w:jc w:val="both"/>
              <w:rPr>
                <w:rtl/>
              </w:rPr>
            </w:pPr>
            <w:r>
              <w:rPr>
                <w:rFonts w:hint="cs"/>
                <w:b/>
                <w:bCs/>
                <w:u w:val="single"/>
                <w:rtl/>
                <w:lang w:eastAsia="he-IL"/>
              </w:rPr>
              <w:t>קביעת מהימנות עדות המתלוננת</w:t>
            </w:r>
          </w:p>
          <w:p w:rsidR="00A959A2" w:rsidRDefault="00A959A2" w:rsidP="00A959A2">
            <w:pPr>
              <w:pStyle w:val="a"/>
              <w:jc w:val="both"/>
              <w:rPr>
                <w:rtl/>
                <w:lang w:eastAsia="he-IL"/>
              </w:rPr>
            </w:pPr>
            <w:r>
              <w:rPr>
                <w:rFonts w:hint="cs"/>
                <w:rtl/>
                <w:lang w:eastAsia="he-IL"/>
              </w:rPr>
              <w:t>עדותה של א.א הותירה רושם מהימן מאד וניכרו בה אותות אמת. על אף גילה הצעיר – בת כ-13 בעת עדותה – א.א העידה באריכות ובפירוט רב על המעשים שביצע בה הנאשם כפי שיוחסו לו בכתב האישום. ניכר כי היא זוכרת היטב את האירועים ותיאוריה היו מפורטים, מוחשיים ומעוגנים בתיאורי מקום ובתחושות והמחשבות שלה בעת המעשים. מדובר בתיאורים מובחנים זה מזה במהותם בכל אישום ואישום, ואין המדובר בתיאורים גנריים שחוזרים על עצמם. א.א התקשתה אמנם לנקוב במועדים שבהם אירעו המקרים אך התיאורים שמסרה בפרטי פרטים מעידים על כך שתיארה דברים שחוותה, וניכר מגילה הצעיר שלא ידעה על הדברים שתיארה ממקורות אחרים. התיאורים והתחושות שתיארה מתאימים לגילה ולמידת הבנתה. כך למשל, תיארה שבאחת הפעמים הנאשם נישק אותה וזו לא הייתה נשיקה רגילה "כמו שאני נותנת לאימא", זה היה "בפה כאילו עם השפתיים כאילו מאוד... מאוד מוזר מגעיל כזה, ממש לא היה לי נעים בכלל" (עמ' 60-61). ההשוואה לנשיקה לאימא, ותחושת הגועל שחשה, מתאימים לגילה הצעיר, ועולים בקנה אחד עם יתר אותות האמת. באופן דומה תיארה א.א שכאשר הנאשם אמר לה להכניס את איבר מינו לפיה אמרה לו "</w:t>
            </w:r>
            <w:r>
              <w:rPr>
                <w:rFonts w:hint="cs"/>
                <w:rtl/>
              </w:rPr>
              <w:t>איכס, זה מלא חיידקים, זה לא מגעיל?" (עמ' 57), באופן אשר תואם את גילה הצעיר.</w:t>
            </w:r>
          </w:p>
          <w:p w:rsidR="00A959A2" w:rsidRDefault="00A959A2" w:rsidP="00A959A2">
            <w:pPr>
              <w:pStyle w:val="a"/>
              <w:numPr>
                <w:ilvl w:val="0"/>
                <w:numId w:val="0"/>
              </w:numPr>
              <w:tabs>
                <w:tab w:val="left" w:pos="720"/>
              </w:tabs>
              <w:ind w:left="720"/>
              <w:jc w:val="both"/>
              <w:rPr>
                <w:rtl/>
                <w:lang w:eastAsia="he-IL"/>
              </w:rPr>
            </w:pPr>
            <w:r>
              <w:rPr>
                <w:rFonts w:hint="cs"/>
                <w:rtl/>
                <w:lang w:eastAsia="he-IL"/>
              </w:rPr>
              <w:t>א.א לא ניסתה להכפיש את הנאשם, לא ניכרה כל הפרזה בדבריה, תיארה בעדותה ובחקירותיה מסכת של מעשים מיניים שעשה בה הנאשם, הבהירה שאלו לא הגיעו עד חדירה ממש ושללה איום או איסור מצדו של הנאשם לבל תספר אודות מעשיו. היא אף לא חששה להציג את קשייה להבין את האיסור שבמעשיו ואת הבלבול שחשה בגינם. חוסר יכולתה לנקוב במועדים מדויקים של המעשים, בגילה ומועד תחילתם, קשור לאופי הפגיעות, לגילה הצעיר באותה עת ולהימשכותם, ואין בו כדי לגרוע ממהימנותה.</w:t>
            </w:r>
          </w:p>
          <w:p w:rsidR="00A959A2" w:rsidRDefault="00A959A2" w:rsidP="00A959A2">
            <w:pPr>
              <w:pStyle w:val="a"/>
              <w:numPr>
                <w:ilvl w:val="0"/>
                <w:numId w:val="0"/>
              </w:numPr>
              <w:tabs>
                <w:tab w:val="left" w:pos="720"/>
              </w:tabs>
              <w:ind w:left="720"/>
              <w:jc w:val="both"/>
              <w:rPr>
                <w:lang w:eastAsia="he-IL"/>
              </w:rPr>
            </w:pPr>
            <w:r>
              <w:rPr>
                <w:rFonts w:hint="cs"/>
                <w:rtl/>
                <w:lang w:eastAsia="he-IL"/>
              </w:rPr>
              <w:lastRenderedPageBreak/>
              <w:t xml:space="preserve">עדותה של המתלוננת נותרה עקבית הן בדברים שמסרה לחוקרת הילדים והן בעדותה בבית המשפט. היא עמדה על גרסתה גם בחקירתה הנגדית, ועשתה אף בשלב זה רושם מהימן. </w:t>
            </w:r>
          </w:p>
          <w:p w:rsidR="00A959A2" w:rsidRDefault="00A959A2" w:rsidP="00A959A2">
            <w:pPr>
              <w:pStyle w:val="a"/>
              <w:numPr>
                <w:ilvl w:val="0"/>
                <w:numId w:val="0"/>
              </w:numPr>
              <w:tabs>
                <w:tab w:val="left" w:pos="720"/>
              </w:tabs>
              <w:ind w:left="720"/>
              <w:jc w:val="both"/>
              <w:rPr>
                <w:rtl/>
                <w:lang w:eastAsia="he-IL"/>
              </w:rPr>
            </w:pPr>
            <w:r>
              <w:rPr>
                <w:rFonts w:hint="cs"/>
                <w:rtl/>
                <w:lang w:eastAsia="he-IL"/>
              </w:rPr>
              <w:t xml:space="preserve">ניתן ללמוד על מהימנותה של המתלוננת גם מאופן חשיפת המעשים בפני חברותיה, ובהמשך בפני אימה, תוך שתיארה את החשש לשתף את אימה פן לא תאמין לה או תכעס עליה. א.א הדגישה את מקומו המשמעותי ואת היות הנאשם אהוב על בני המשפחה ועליה.   </w:t>
            </w:r>
          </w:p>
          <w:p w:rsidR="00A959A2" w:rsidRDefault="00A959A2" w:rsidP="00A959A2">
            <w:pPr>
              <w:pStyle w:val="a"/>
              <w:numPr>
                <w:ilvl w:val="0"/>
                <w:numId w:val="0"/>
              </w:numPr>
              <w:tabs>
                <w:tab w:val="left" w:pos="720"/>
              </w:tabs>
              <w:ind w:left="720"/>
              <w:rPr>
                <w:rtl/>
              </w:rPr>
            </w:pPr>
            <w:r>
              <w:rPr>
                <w:rFonts w:hint="cs"/>
                <w:rtl/>
              </w:rPr>
              <w:t xml:space="preserve">התיאורים שמסרה המתלוננת בעדותה הם עקביים לתיאורים שמסרה בחקירות הילדים, ללא סתירות של ממש, וניכר כי היא שבה ותיארה דברים שחוותה. </w:t>
            </w:r>
          </w:p>
          <w:p w:rsidR="00A959A2" w:rsidRDefault="00A959A2" w:rsidP="00A959A2">
            <w:pPr>
              <w:pStyle w:val="a"/>
              <w:jc w:val="both"/>
              <w:rPr>
                <w:rtl/>
              </w:rPr>
            </w:pPr>
            <w:r>
              <w:rPr>
                <w:rFonts w:hint="cs"/>
                <w:rtl/>
              </w:rPr>
              <w:t xml:space="preserve">ניכר שתאור המעשים הביך את א.א "...קשה לי להגיד את זה, כאילו אני לא יודעת איך להסביר זה מביך אותי" (ת/5 עמ' 4 ש' 36-37). א.א השתמשה בביטויים המתאימים לגילה הצעיר – "הבאת ילדים לעולם" והסבירה בעדותה את כי התכוונה שניסה להכניס את איבר מינו לאיבר מינה ושחשה מבוכה להגיד את הדברים (עמ' 73, עמ' 80), ואמרה לחוקרת שזה נושא רגיש ששמרה אותו לעצמה הרבה מאוד זמן (ת/5 עמ' 15). נראה שא.א ביקשה מאוד לדייק בדבריה "כן אני זוכרת שזה קרה אבל אני לא בטוחה להגיד ואני לא רוצה להגיד משהו לא נכון... אם נגיד אני מספרת לך עכשיו פרטי פרטים ויש פרט אחד שהוא לא נכון, אז זה מטעה את כל הסיפור" (ת/6 עמ' 2 ש' 32-34). </w:t>
            </w:r>
          </w:p>
          <w:p w:rsidR="00A959A2" w:rsidRDefault="00A959A2" w:rsidP="00A959A2">
            <w:pPr>
              <w:pStyle w:val="a"/>
              <w:numPr>
                <w:ilvl w:val="0"/>
                <w:numId w:val="0"/>
              </w:numPr>
              <w:tabs>
                <w:tab w:val="left" w:pos="720"/>
              </w:tabs>
              <w:ind w:left="720"/>
              <w:jc w:val="both"/>
              <w:rPr>
                <w:rtl/>
              </w:rPr>
            </w:pPr>
            <w:r>
              <w:rPr>
                <w:rFonts w:hint="cs"/>
                <w:rtl/>
              </w:rPr>
              <w:t xml:space="preserve">א.א נזהרה שלא להשחיר את הנאשם ולא להפריז בעדותה. כך למשל כשנשאלה על כך שמסרה כי באחת הפעמים בהן החדיר הנאשם אצבעותיו לאיבר מינה חשה בכאב, השיבה כי יתכן שהכאב נבע מדלקת בדרכי השתן ולא בגין מעשיו (ת/6 עמ' 9). הבהירה שלא אמרה לו במהלך הפגיעות לחדול ממעשיו (ת/6 עמ' 11). שללה שהנאשם היכה אותה או הכאיב לה (ת/6 עמ' 21). </w:t>
            </w:r>
          </w:p>
          <w:p w:rsidR="00A959A2" w:rsidRDefault="00A959A2" w:rsidP="00A959A2">
            <w:pPr>
              <w:pStyle w:val="a"/>
              <w:numPr>
                <w:ilvl w:val="0"/>
                <w:numId w:val="0"/>
              </w:numPr>
              <w:tabs>
                <w:tab w:val="left" w:pos="720"/>
              </w:tabs>
              <w:ind w:left="720"/>
              <w:jc w:val="both"/>
            </w:pPr>
            <w:r>
              <w:rPr>
                <w:rFonts w:hint="cs"/>
                <w:rtl/>
              </w:rPr>
              <w:t xml:space="preserve">א.א הקפידה לדייק בדבריה, כדי שלא להטעות. כך למשל, כאשר נשאלה האם במקרה שבו נגע באיבר מינה בעת נסיעה ברכב, הוא הכניס את ידיו אל מתחת לבגדיה, השיבה: "...לא זוכרת פשוט אם זה היה מתחת או מעל כי יכול להיות אני פשוט לא בטוחה, אני לא רוצה סתם להטעות את הסיפור" (ת/6 עמ' 29 ש' 21-22). </w:t>
            </w:r>
          </w:p>
          <w:p w:rsidR="00A959A2" w:rsidRDefault="00A959A2" w:rsidP="00A959A2">
            <w:pPr>
              <w:pStyle w:val="a"/>
              <w:numPr>
                <w:ilvl w:val="0"/>
                <w:numId w:val="0"/>
              </w:numPr>
              <w:tabs>
                <w:tab w:val="left" w:pos="720"/>
              </w:tabs>
              <w:ind w:left="720"/>
              <w:jc w:val="both"/>
              <w:rPr>
                <w:rtl/>
              </w:rPr>
            </w:pPr>
            <w:r>
              <w:rPr>
                <w:rFonts w:hint="cs"/>
                <w:rtl/>
              </w:rPr>
              <w:t xml:space="preserve">א.א אמנם לא זכרה את גילה המדויק בעת הפגיעות השונות, אך זכרה את הבתים בו התגוררו הנאשם וסבתה, וידעה לשייך כל מקרה לבית שבו הם התגוררו. </w:t>
            </w:r>
          </w:p>
          <w:p w:rsidR="00A959A2" w:rsidRDefault="00A959A2" w:rsidP="00A959A2">
            <w:pPr>
              <w:pStyle w:val="a"/>
              <w:numPr>
                <w:ilvl w:val="0"/>
                <w:numId w:val="0"/>
              </w:numPr>
              <w:tabs>
                <w:tab w:val="left" w:pos="720"/>
              </w:tabs>
              <w:ind w:left="720"/>
              <w:jc w:val="both"/>
              <w:rPr>
                <w:rtl/>
              </w:rPr>
            </w:pPr>
            <w:r>
              <w:rPr>
                <w:rFonts w:hint="cs"/>
                <w:rtl/>
              </w:rPr>
              <w:t xml:space="preserve">כך גם החשש שהביעה א.א מהאפשרות שהנאשם יפגע באחותה הקטנה, ודבריה על כך שניסתה לוודא שהנאשם אינו פוגע באחותה – תומכים במהימנותה. </w:t>
            </w:r>
          </w:p>
          <w:p w:rsidR="00A959A2" w:rsidRDefault="00A959A2" w:rsidP="00A959A2">
            <w:pPr>
              <w:pStyle w:val="a"/>
              <w:jc w:val="both"/>
              <w:rPr>
                <w:rtl/>
              </w:rPr>
            </w:pPr>
            <w:r>
              <w:rPr>
                <w:rFonts w:hint="cs"/>
                <w:rtl/>
              </w:rPr>
              <w:t xml:space="preserve">עדותה של א.א בנוגע לאישום 7, כמו גם לגבי יתר האישומים, הייתה מהימנה. עם זאת, באשר לעדותה של א.א כי במעשים שביצע בה הנאשם בלילה במיטה שלו ושל הסבתא, הנאשם פתח את החגורה במכנסיו, ניתן להניח כי בעת שנאשם שכב במיטתו טרם שנת לילה לא חגר חגורה במכנסיו, וההסבר של א.א כי בשלב זה טרם החליף בגדיו לפיג'מה, אינו מתיישב עם התיאור הכולל של הסיטואציה (שינה משותפת של הנאשם, הסבתא וא.א במיטה בחדר השינה). לטענת ב"כ הנאשם, עו"ד סמילה, התיאור של א.א שלפיו הנאשם לבש מכנסיים עם חגורה במיטה הוא פרי דמיונה של א.א, ויש בו כדי ללמד על היעדר מהימנותה של א.א בכלל, ובכל הנוגע לעבירת ניסיון האינוס בפרט (עמ' 296). אכן, התיאור של א.א שלפיו הנאשם היה עם מכנסיים וחגורה במיטה, אינו סביר, ולא ניתן לקבלו כמדויק. עם זאת, אין בכך ללמד על היעדר מהימנותה של א.א, אלא המסקנה היא שא.א טעתה כאשר קישרה את </w:t>
            </w:r>
            <w:r>
              <w:rPr>
                <w:rFonts w:hint="cs"/>
                <w:rtl/>
              </w:rPr>
              <w:lastRenderedPageBreak/>
              <w:t xml:space="preserve">האירוע הזה שבאישום השביעי, עם פתיחת חגורת המכנסיים של הנאשם, אשר הייתה באירועים אחרים (למשל, עדות א.א בנוגע לאישום הראשון בחדר הכביסה, עמ' 52, ש' 10; עדות א.א בנוגע לאישום השישי בעניין הטלוויזיה, עמ' 57, ש' 21). כפי שא.א העידה, במקרים שבהם הדבר קרה, היא הייתה "בלחץ ומאוד בסטרס" (עמ' 84, ש' 31), והוסיפה שלמיטב זיכרונה לרוב הוא היה עם חגורה במקרים שהיו במיטה, אך אינה זוכרת את כל המקרים הללו לפרטי פרטים (עמ' 85). היו פעמים שלא ראתה את החגורה או שאינה זוכרת זאת בשל חלוף הזמן (עמ' 98). לפיכך יתכן שזיכרונה של א.א אינו מדויק לעניין החגורה. מכאן, שאין בכך בכדי לפגוע באמינות גרסתה הכוללת של א.א, ואף לא בנוגע לעבירת ניסיון האינוס. זאת בפרט לאור ההלכה הפסיקה שלפיה בעבירות מין, ובפרט במקרים מסוג זה, אין לדקדק בכל פרטי העדות, וניתן להסתפק בגרעין האמת המצוי בה, גם כאשר העדות לוקה באי דיוק או בחוסר בהירות [ראו למשל, דברי כב' השופט י' עמית בע"פ 1787/17 </w:t>
            </w:r>
            <w:r>
              <w:rPr>
                <w:rFonts w:hint="cs"/>
                <w:b/>
                <w:bCs/>
                <w:rtl/>
              </w:rPr>
              <w:t>פלוני נ' מידנת ישראל</w:t>
            </w:r>
            <w:r>
              <w:rPr>
                <w:rFonts w:hint="cs"/>
                <w:rtl/>
              </w:rPr>
              <w:t xml:space="preserve"> (4.6.2019) (פיסקה 9)].</w:t>
            </w:r>
          </w:p>
          <w:p w:rsidR="00A959A2" w:rsidRDefault="00A959A2" w:rsidP="00A959A2">
            <w:pPr>
              <w:pStyle w:val="a"/>
              <w:numPr>
                <w:ilvl w:val="0"/>
                <w:numId w:val="0"/>
              </w:numPr>
              <w:tabs>
                <w:tab w:val="left" w:pos="720"/>
              </w:tabs>
              <w:ind w:left="720"/>
              <w:jc w:val="both"/>
              <w:rPr>
                <w:rtl/>
              </w:rPr>
            </w:pPr>
            <w:r>
              <w:rPr>
                <w:rFonts w:hint="cs"/>
                <w:rtl/>
              </w:rPr>
              <w:t xml:space="preserve">ההגנה הוסיפה וטענה להעדר היתכנות של התיאור שמסרה א.א בנוגע לעבירת ניסיון האינוס, בכך שא.א העידה שהנאשם הוריד את מכנסיו עד לברכיים וגם הוריד לה את המכנסיים עד מתחת לברכיים, ולא באופן מלא (עדות א.א, עמ' 54, ש' 19; עמ' 74, ש' 21-7). ואולם, בעניין זה לא שוכנעתי כי יש קושי בעדות המתלוננת, אשר תיארה את אופן ביצוע המעשים, ואת המנח שלה ושל הנאשם, באופן אשר אינו משולל הגיון. </w:t>
            </w:r>
          </w:p>
          <w:p w:rsidR="00A959A2" w:rsidRDefault="00A959A2" w:rsidP="00A959A2">
            <w:pPr>
              <w:pStyle w:val="a"/>
              <w:jc w:val="both"/>
            </w:pPr>
            <w:r>
              <w:rPr>
                <w:rFonts w:hint="cs"/>
                <w:rtl/>
              </w:rPr>
              <w:t xml:space="preserve">לאור כל האמור לעיל, יש לקבל את דבריה של א.א כמהימנים. </w:t>
            </w:r>
          </w:p>
          <w:p w:rsidR="00A959A2" w:rsidRDefault="00A959A2" w:rsidP="00A959A2">
            <w:pPr>
              <w:pStyle w:val="a"/>
              <w:numPr>
                <w:ilvl w:val="0"/>
                <w:numId w:val="0"/>
              </w:numPr>
              <w:tabs>
                <w:tab w:val="left" w:pos="720"/>
              </w:tabs>
              <w:ind w:left="720" w:hanging="720"/>
              <w:jc w:val="both"/>
              <w:rPr>
                <w:b/>
                <w:bCs/>
                <w:u w:val="single"/>
              </w:rPr>
            </w:pPr>
            <w:r>
              <w:rPr>
                <w:rFonts w:hint="cs"/>
                <w:b/>
                <w:bCs/>
                <w:u w:val="single"/>
                <w:rtl/>
              </w:rPr>
              <w:t>התרשמות חוקרת הילדים ממהימנותה של א.א</w:t>
            </w:r>
          </w:p>
          <w:p w:rsidR="00A959A2" w:rsidRDefault="00A959A2" w:rsidP="00A959A2">
            <w:pPr>
              <w:pStyle w:val="a"/>
              <w:jc w:val="both"/>
              <w:rPr>
                <w:rtl/>
              </w:rPr>
            </w:pPr>
            <w:r>
              <w:rPr>
                <w:rFonts w:hint="cs"/>
                <w:rtl/>
              </w:rPr>
              <w:t xml:space="preserve">עדותה של א.א בפני חוקרת הילדים קבילה בהתאם לסעיף 9(א) לחוק תיקון דיני הראיות (הגנת ילדים), תשט"ו-1955, על אף שהעידה בבית המשפט, ועל כך אין עוררין. הצדדים לא חלקו במקרה דנן אף על קבילות עדותה של חוקרת הילדים, לרבות התרשמותה מא.א אשר העידה בעצמה בבית המשפט. המחלוקת היא על המשקל שיש לתת לחוות הדעת בעניין מהימנות שקבעה חוקרת הילדים ביחס לגרסתה של א.א. </w:t>
            </w:r>
          </w:p>
          <w:p w:rsidR="00A959A2" w:rsidRDefault="00A959A2" w:rsidP="00A959A2">
            <w:pPr>
              <w:pStyle w:val="a"/>
              <w:numPr>
                <w:ilvl w:val="0"/>
                <w:numId w:val="0"/>
              </w:numPr>
              <w:tabs>
                <w:tab w:val="left" w:pos="720"/>
              </w:tabs>
              <w:ind w:left="720"/>
              <w:jc w:val="both"/>
              <w:rPr>
                <w:rtl/>
              </w:rPr>
            </w:pPr>
            <w:r>
              <w:rPr>
                <w:rFonts w:hint="cs"/>
                <w:rtl/>
              </w:rPr>
              <w:t xml:space="preserve">מובן כי קביעת מהימנות עדים בכלל שמורה לבית המשפט השומע את העד ולו בלבד, ואין בחוות דעת באשר למהימנות נפגע עבירה קטין כדי להחליפה. </w:t>
            </w:r>
          </w:p>
          <w:p w:rsidR="00A959A2" w:rsidRDefault="00A959A2" w:rsidP="00A959A2">
            <w:pPr>
              <w:pStyle w:val="a"/>
              <w:numPr>
                <w:ilvl w:val="0"/>
                <w:numId w:val="0"/>
              </w:numPr>
              <w:tabs>
                <w:tab w:val="left" w:pos="720"/>
              </w:tabs>
              <w:ind w:left="720"/>
              <w:jc w:val="both"/>
            </w:pPr>
            <w:r>
              <w:rPr>
                <w:rFonts w:hint="cs"/>
                <w:rtl/>
              </w:rPr>
              <w:t xml:space="preserve">קיימת מחלוקת בפסיקת בית המשפט העליון בעניין נפקות קביעת מהימנות בידי חוקרי ילדים במקרים שבהם הקטין עצמו מעיד בבית המשפט, ואולם הדעה הרווחת היא כי התרשמות חוקר ילדים ממהימנות נפגע עבירה קטין במצב בו עדות הילד הנחקר נשמעה בפני בית המשפט היא עדות קבילה, אף שאינה באה להחליף את התרשמות בית המשפט ממהימנות עדות נפגע העבירה הקטין. זו יכולה לשמש ככלי עזר המסייע לבית המשפט לעמוד על מהימנות הקטין וכי המשקל שיש לתת לה משתנה בהתאם לנסיבות של כל מקרה לגופו (לעניין זה ראו בין היתר: ע"פ 2783/22 </w:t>
            </w:r>
            <w:r>
              <w:rPr>
                <w:rFonts w:hint="cs"/>
                <w:b/>
                <w:bCs/>
                <w:rtl/>
              </w:rPr>
              <w:t xml:space="preserve">דאבוש נ' מדינת ישראל </w:t>
            </w:r>
            <w:r>
              <w:rPr>
                <w:rFonts w:hint="cs"/>
                <w:rtl/>
              </w:rPr>
              <w:t xml:space="preserve">(פיסקה 38 לחוות דעתו של כב' השופט ד' מינץ) (12.5.2023); ע"פ 229/19 </w:t>
            </w:r>
            <w:r>
              <w:rPr>
                <w:rFonts w:hint="cs"/>
                <w:b/>
                <w:bCs/>
                <w:rtl/>
              </w:rPr>
              <w:t>מדינת ישראל נ' פלוני</w:t>
            </w:r>
            <w:r>
              <w:rPr>
                <w:rFonts w:hint="cs"/>
                <w:rtl/>
              </w:rPr>
              <w:t xml:space="preserve"> (פס' 97 לחוות דעתו של כב' השופט י' אלרון) (30.12.2019); ע"פ 4583/13 </w:t>
            </w:r>
            <w:r>
              <w:rPr>
                <w:rFonts w:hint="cs"/>
                <w:b/>
                <w:bCs/>
                <w:rtl/>
              </w:rPr>
              <w:t>סץ נ' מדינת ישראל</w:t>
            </w:r>
            <w:r>
              <w:rPr>
                <w:rFonts w:hint="cs"/>
                <w:rtl/>
              </w:rPr>
              <w:t xml:space="preserve"> (פס' 29 לחוות דעתו של כב' השופט שהם) (21.9.2015); ע"פ 8050/17 </w:t>
            </w:r>
            <w:r>
              <w:rPr>
                <w:rFonts w:hint="cs"/>
                <w:b/>
                <w:bCs/>
                <w:rtl/>
              </w:rPr>
              <w:t>פלוני נ' מדינת ישראל</w:t>
            </w:r>
            <w:r>
              <w:rPr>
                <w:rFonts w:hint="cs"/>
                <w:rtl/>
              </w:rPr>
              <w:t xml:space="preserve"> (פס' 41 לחוות דעתו של כב' השופט ג' קרא) (30.10.2018); ומנגד השוו ע"פ 337/13 </w:t>
            </w:r>
            <w:r>
              <w:rPr>
                <w:rFonts w:hint="cs"/>
                <w:b/>
                <w:bCs/>
                <w:rtl/>
              </w:rPr>
              <w:t xml:space="preserve">פלוני נ' מדינת ישראל </w:t>
            </w:r>
            <w:r>
              <w:rPr>
                <w:rFonts w:hint="cs"/>
                <w:rtl/>
              </w:rPr>
              <w:t xml:space="preserve">(חוות דעת כב' השופטים הנדל וד' ברק ארז, בניגוד לדעתו של כב' השופט דנציגר) (9.9.2013) וכן 989/19 </w:t>
            </w:r>
            <w:r>
              <w:rPr>
                <w:rFonts w:hint="cs"/>
                <w:b/>
                <w:bCs/>
                <w:rtl/>
              </w:rPr>
              <w:t>פלוני נ' מדינת ישראל</w:t>
            </w:r>
            <w:r>
              <w:rPr>
                <w:rFonts w:hint="cs"/>
                <w:rtl/>
              </w:rPr>
              <w:t xml:space="preserve"> (פיסקה 38 לחוות דעתה של כב' השופטת ד' ברק ארז) (19.12.2019). </w:t>
            </w:r>
          </w:p>
          <w:p w:rsidR="00A959A2" w:rsidRDefault="00A959A2" w:rsidP="00A959A2">
            <w:pPr>
              <w:pStyle w:val="a"/>
              <w:numPr>
                <w:ilvl w:val="0"/>
                <w:numId w:val="0"/>
              </w:numPr>
              <w:tabs>
                <w:tab w:val="left" w:pos="720"/>
              </w:tabs>
              <w:ind w:left="720"/>
              <w:jc w:val="both"/>
            </w:pPr>
            <w:r>
              <w:rPr>
                <w:rFonts w:hint="cs"/>
                <w:rtl/>
              </w:rPr>
              <w:lastRenderedPageBreak/>
              <w:t xml:space="preserve">במקרה הנוכחי, כאמור לעיל, התרשמותנו הבלתי אמצעית מא.א היא שיש לתת אמון בעדותה בבית המשפט. התרשמות זו אשר נסמכת על אותות האמת בעדותה, על עקביותה, הקפדתה על דיוק בפרטים, העדר ההפרזה, עיגון האירועים במקום וכיוצא באלה, עולים בקנה אחד עם האינדיקציות אשר בחנה חוקרת הילדים כמפורט להלן, אשר הביאו אותה למסקנה זהה, אשר כאמור יכולה להוות אך כלי עזר לבית המשפט. </w:t>
            </w:r>
          </w:p>
          <w:p w:rsidR="00A959A2" w:rsidRDefault="00A959A2" w:rsidP="00A959A2">
            <w:pPr>
              <w:pStyle w:val="a"/>
              <w:jc w:val="both"/>
              <w:rPr>
                <w:rtl/>
              </w:rPr>
            </w:pPr>
            <w:r>
              <w:rPr>
                <w:rFonts w:hint="cs"/>
                <w:b/>
                <w:bCs/>
                <w:rtl/>
              </w:rPr>
              <w:t>התרשמות חוקרת הילדים גב' נירית נאור וולובסקי ממהימנותה של א.א</w:t>
            </w:r>
            <w:r>
              <w:rPr>
                <w:rFonts w:hint="cs"/>
                <w:rtl/>
              </w:rPr>
              <w:t xml:space="preserve"> (ת/9)  – א.א התייחסה בדבריה לשמונה אירועי פגיעה שונים, במלל חופשי ולא מובנה שהורחב בתגובה לתשאול פתוח. תוכן דבריה עוגן בקונטקסט של נסיבות חלקיות ומקום. דבריה כללו הדגמות ופרטים מהותיים ושוליים, התייחסות למחשבות ורגשות בזמן האירועים ולאחריהם ותיאור הפגיעה באופן אותנטי במושג הלקוח מעולם תוכן של ילדים.</w:t>
            </w:r>
          </w:p>
          <w:p w:rsidR="00A959A2" w:rsidRDefault="00A959A2" w:rsidP="00A959A2">
            <w:pPr>
              <w:pStyle w:val="a"/>
              <w:numPr>
                <w:ilvl w:val="0"/>
                <w:numId w:val="0"/>
              </w:numPr>
              <w:tabs>
                <w:tab w:val="left" w:pos="720"/>
              </w:tabs>
              <w:ind w:left="720"/>
              <w:jc w:val="both"/>
              <w:rPr>
                <w:rtl/>
              </w:rPr>
            </w:pPr>
            <w:r>
              <w:rPr>
                <w:rFonts w:hint="cs"/>
                <w:rtl/>
              </w:rPr>
              <w:t>חוקרת הילדים התרשמה, כפי שהתרשמנו אנו, כי לא ננקטה מגמת הפללה או הגזמה הגם שניתנה לא.א אפשרות לעשות כן, ובדבריה היו תיאורים אמביוולנטיים לפוגע. כך למשל כאשר לא ייחסה את הכאב באיבר המין למעשי הנאשם וכך גם לא ייחסה את המתנות שנתן לה למעשים המיניים שביצע ("אהב לפנק אנשים"). כמות הפרטים שאליהם התייחסה מותאמת לאופי האירועים. בדבריה באו לידי ביטוי אלמנטים דינאמיים חזקים ומוכרים בפגיעות מסוג זה: כך למשל שא.א סברה שהמעשים מקובלים; בתיאור החשש מפני חשיפת המעשים בשל הבנת השלכות החשיפה; תיאורה על כך ששמרה על אחותה הצעירה מפני פגיעה; קושי רגשי להתייחס לתוכן הדברים בזמן החקירה וכד'.</w:t>
            </w:r>
          </w:p>
          <w:p w:rsidR="00A959A2" w:rsidRDefault="00A959A2" w:rsidP="00A959A2">
            <w:pPr>
              <w:pStyle w:val="a"/>
              <w:numPr>
                <w:ilvl w:val="0"/>
                <w:numId w:val="0"/>
              </w:numPr>
              <w:tabs>
                <w:tab w:val="left" w:pos="720"/>
              </w:tabs>
              <w:ind w:left="720"/>
              <w:jc w:val="both"/>
            </w:pPr>
            <w:r>
              <w:rPr>
                <w:rFonts w:hint="cs"/>
                <w:rtl/>
              </w:rPr>
              <w:t xml:space="preserve">בהתייחס לכלל האינדיקציות התרשמה חוקרת הילדים שא.א מסרה את הדברים מתוך חוויה. מיקדה את זמן האירועים ביחס למקום המגורים של הנאשם בתקופות השונות אך לא הצליחה למקם את האירועים ברצף כרונולוגי מדויק. יתכן שהדבר נובע מהזמן שחלף, מריבוי האירועים או מגילה הצעיר בעת הפגיעות, ובכל מקרה אין בכך כדי לגרוע מהמהימנות  שנקבעה. </w:t>
            </w:r>
          </w:p>
          <w:p w:rsidR="00A959A2" w:rsidRDefault="00A959A2" w:rsidP="00A959A2">
            <w:pPr>
              <w:pStyle w:val="a"/>
              <w:numPr>
                <w:ilvl w:val="0"/>
                <w:numId w:val="0"/>
              </w:numPr>
              <w:tabs>
                <w:tab w:val="left" w:pos="720"/>
              </w:tabs>
              <w:ind w:left="720"/>
              <w:jc w:val="both"/>
              <w:rPr>
                <w:rtl/>
              </w:rPr>
            </w:pPr>
            <w:r>
              <w:rPr>
                <w:rFonts w:hint="cs"/>
                <w:rtl/>
              </w:rPr>
              <w:t xml:space="preserve">באשר לתאורה של א.א כי הנאשם פתח את חגורת מכנסיו בזמן שישנו במיטה, כאשר נשאלה על כך היא לא הצליחה להבהיר מדוע ישן הנאשם עם חגורה לגופו. חוקרת הילדים הסתייגה מחלק זה בעדותה, אך קבעה כי אין בכך כדי לפגוע במהימנות שקבעה ביחס ליתר הפרטים שעלו בחקירה. יתכן שהתיאור על אודות פתיחת החגורה באירוע נובע מבלבול עקב דמיון בין האירועים (עמ' 11-12). </w:t>
            </w:r>
          </w:p>
          <w:p w:rsidR="00A959A2" w:rsidRDefault="00A959A2" w:rsidP="00A959A2">
            <w:pPr>
              <w:pStyle w:val="a"/>
              <w:jc w:val="both"/>
              <w:rPr>
                <w:rtl/>
              </w:rPr>
            </w:pPr>
            <w:r>
              <w:rPr>
                <w:rFonts w:hint="cs"/>
                <w:b/>
                <w:bCs/>
                <w:rtl/>
              </w:rPr>
              <w:t>חוקרת הילדים, הגב' נירית נאור וולובסקי, העידה בבית המשפט והסבירה את התרשמותה מא.א</w:t>
            </w:r>
            <w:r>
              <w:rPr>
                <w:rFonts w:hint="cs"/>
                <w:rtl/>
              </w:rPr>
              <w:t xml:space="preserve"> – היא חקרה את א.א פעמיים, כאשר בטרם החקירה הראשונה היו בפניה עדותה של האם ושל הדודה במשטרה וטרם החקירה השנייה היו בפניה עדותן של שתי חברותיה של א.א (שנחקרו על ידה), עדות נוספת של האם ומספר נקודות שהתבקשה לברר עם א.א על ידי המאשימה. בעדותה פירטה חוקרת הילדים את האינדיקציות שאליהן התייחסה בקביעת מהימנות גרסתה של א.א ובכללן ניתוח איכות התשאול, שמשמעו תשאול פתוח כאשר א.א שתפה בתשאול הפתוח במלל חופשי באופן שחיזק את מהימנותה (עמ' 151-152). פרמטר נוסף קשור בעיגון האירועים בנסיבות ובמקום, כפי שעשתה א.א. כן התייחסה לכך שא.א נתנה הדגמות ספונטניות בחקירותיה. כאשר לא הצליחה להסביר משהו היא הדגימה, ואף ציירה. קריטריון נוסף הוא מסירת פרטים שוליים שאינם רלוונטיים לחלק המהותי, כאשר א.א תיארה את שחוותה. הרציונל הוא שכאשר ילד מספר את מה שנאמר לו לספר הוא לא יחשוב על פרטים שוליים ברקע לסיפור המהותי (עמ' 153-154). תיאור הפרעה לא צפויה – למשל כאשר א.א תארה שהמעשה הופסק כי הוריה היו צפויים לחזור – מתאים לילד שחווה את הדברים שעליהם הוא מספר ויש בכך </w:t>
            </w:r>
            <w:r>
              <w:rPr>
                <w:rFonts w:hint="cs"/>
                <w:rtl/>
              </w:rPr>
              <w:lastRenderedPageBreak/>
              <w:t>חיזוק למהימנות. הודאה בליקוי בזיכרון, כאשר א.א משיבה על שאלות בכך שאינה בטוחה או שאינה זוכרת, מעיד על מחויבות לדייק, כך גם ציטוטים שהביאה א.א ולמעשה השתמשה בלשון המקורית של הדברים שנאמרו (עמ' 155). קריטריונים נוספים שחוקרת הילדים שקלה בעת קביעת המהימנות כוללים, בין היתר, התייחסות של נפגעת העבירה לדמויות נוספות שקשורות לאירועים; התייחסותה באופן ספונטני למחשבות ולרגשות שחוותה בעת האירועים עצמם; ייחוס הכוונות והמחשבות של א.א כלפי הנאשם, כאשר א.א ייחסה את מחשבותיה למחשבותיו של הנאשם; תיאור הפגיעה במושגים התואמים לגילה הצעיר; והתייחסות לדינמיקה של החקירה ובמקרה זה המבוכה של א.א לדבר על מה שחוותה (עמ' 156-159). בנוסף התייחסה למוטיבציה של א.א בחקירה ובעניין זה נמצא כי לא היה ביטוי להגזמה או לניסיון להפללת הנאשם.</w:t>
            </w:r>
          </w:p>
          <w:p w:rsidR="00A959A2" w:rsidRDefault="00A959A2" w:rsidP="00A959A2">
            <w:pPr>
              <w:pStyle w:val="a"/>
              <w:numPr>
                <w:ilvl w:val="0"/>
                <w:numId w:val="0"/>
              </w:numPr>
              <w:tabs>
                <w:tab w:val="left" w:pos="720"/>
              </w:tabs>
              <w:ind w:left="720"/>
              <w:jc w:val="both"/>
              <w:rPr>
                <w:rtl/>
              </w:rPr>
            </w:pPr>
            <w:r>
              <w:rPr>
                <w:rFonts w:hint="cs"/>
                <w:rtl/>
              </w:rPr>
              <w:t>חוקרת הילדים העידה כי א.א הייתה במצב רגשי קשה בעת חקירתה הראשונה והיה צפוי שהיא תתקשה לספר הכל ולכן היה ברור שתידרש השלמת החקירה. היא הייתה בלחץ ובכתה מידי פעם (עמ' 177). חלק מהחקירה השנייה הייתה פתוחה וא.א מסרה פרטים שלא זכרה בחקירה הראשונה (עמ' 171). הסבירה שההסתכלות על הקריטריונים היא באופן משולב ומוכלל (עמ' 175-176). השיבה כי ציינה את הסתייגותה מעניין תיאורה של א.א שהנאשם היה עם חגורה גם באירועים שהתרחשו בעת שהלכו לישון. היא שאלה את א.א אודות כך אך זו לא ידעה להסביר את הנושא. עם זאת, חוקרת הילדים לא מצאה בכך כדי לפגוע במהימנותה של א.א כיוון שמדובר בפרט שהוא חלק מתיאור גנרי, וידוע כי כאשר ילדים חווים פגיעה מתמשכת הם חוזרים על תיאור גנרי (עמ' 182-183).</w:t>
            </w:r>
          </w:p>
          <w:p w:rsidR="00A959A2" w:rsidRDefault="00A959A2" w:rsidP="00A959A2">
            <w:pPr>
              <w:pStyle w:val="a"/>
              <w:numPr>
                <w:ilvl w:val="0"/>
                <w:numId w:val="0"/>
              </w:numPr>
              <w:tabs>
                <w:tab w:val="left" w:pos="720"/>
              </w:tabs>
              <w:ind w:left="720"/>
              <w:jc w:val="both"/>
            </w:pPr>
            <w:r>
              <w:rPr>
                <w:rFonts w:hint="cs"/>
                <w:rtl/>
              </w:rPr>
              <w:t>לפיכך, התרשמותה של חוקרת הילדים מא.א, אשר עולה בקנה אחד עם התרשמותנו, תומכת במסקנה בדבר מהימנותה של א.א.</w:t>
            </w:r>
          </w:p>
          <w:p w:rsidR="00A959A2" w:rsidRDefault="00A959A2" w:rsidP="00A959A2">
            <w:pPr>
              <w:pStyle w:val="a"/>
              <w:numPr>
                <w:ilvl w:val="0"/>
                <w:numId w:val="0"/>
              </w:numPr>
              <w:tabs>
                <w:tab w:val="left" w:pos="720"/>
              </w:tabs>
              <w:ind w:left="720" w:hanging="720"/>
              <w:jc w:val="both"/>
              <w:rPr>
                <w:rtl/>
              </w:rPr>
            </w:pPr>
            <w:r>
              <w:rPr>
                <w:rFonts w:hint="cs"/>
                <w:b/>
                <w:bCs/>
                <w:u w:val="single"/>
                <w:rtl/>
              </w:rPr>
              <w:t>עדות אימה של א.א</w:t>
            </w:r>
          </w:p>
          <w:p w:rsidR="00A959A2" w:rsidRDefault="00A959A2" w:rsidP="00A959A2">
            <w:pPr>
              <w:pStyle w:val="a"/>
              <w:jc w:val="both"/>
            </w:pPr>
            <w:r>
              <w:rPr>
                <w:rFonts w:hint="cs"/>
                <w:rtl/>
              </w:rPr>
              <w:t xml:space="preserve">עדות אימה של א.א מחזקת את עדותה של א.א הן בכל הנוגע לאופן חשיפת המעשים, והן בפרטים אשר האם מסרה, אשר יש בהם כדי לתמוך במהימנות עדותה של א.א, והן בנוגע להעדר מניע להעליל על הנאשם. </w:t>
            </w:r>
          </w:p>
          <w:p w:rsidR="00A959A2" w:rsidRDefault="00A959A2" w:rsidP="00A959A2">
            <w:pPr>
              <w:pStyle w:val="a"/>
              <w:numPr>
                <w:ilvl w:val="0"/>
                <w:numId w:val="0"/>
              </w:numPr>
              <w:tabs>
                <w:tab w:val="left" w:pos="720"/>
              </w:tabs>
              <w:ind w:left="720"/>
              <w:jc w:val="both"/>
            </w:pPr>
            <w:r>
              <w:rPr>
                <w:rFonts w:hint="cs"/>
                <w:rtl/>
              </w:rPr>
              <w:t xml:space="preserve">האֵם העידה שהיא מכירה את הנאשם מאז היותה בת 13, היה כאָב עבורה. תיארה את חשיפת הפגיעות על ידי א.א – כאשר זו התקשרה אליה ואמרה לה שיש לה דבר לספר לה. א.א בחרה ביום שבו האם אינה עובדת. חיפשה הזדמנות בה היא פנויה. חברתה של א.א אמרה לא.א שהיא חייבת לספר לאימה והלכה, כך שהשאירה את א.א ללא ברירה. א.א הייתה מאוד נבוכה ומאוד לחוצה ואז אמרה לה שהנאשם עשה לה דברים וכששאלה אותה מה בדיוק עשה לה, א.א השיבה שהוא נגע בה. א.א לא באמת הבינה באותה עת עד כמה הדברים חמורים. </w:t>
            </w:r>
          </w:p>
          <w:p w:rsidR="00A959A2" w:rsidRDefault="00A959A2" w:rsidP="00A959A2">
            <w:pPr>
              <w:pStyle w:val="a"/>
              <w:numPr>
                <w:ilvl w:val="0"/>
                <w:numId w:val="0"/>
              </w:numPr>
              <w:tabs>
                <w:tab w:val="left" w:pos="720"/>
              </w:tabs>
              <w:ind w:left="720"/>
              <w:jc w:val="both"/>
            </w:pPr>
            <w:r>
              <w:rPr>
                <w:rFonts w:hint="cs"/>
                <w:rtl/>
              </w:rPr>
              <w:t xml:space="preserve">האֵם ביקשה מבתה לפרט על אודות המעשים וזו סיפרה לה על האירוע בו הנאשם ביקש ממנה לגעת באיבר מינו בעת ששהו במחסן בחצר ביתו ובית הסבתא. לפי תיאור הבית האֵם חישבה שמדובר באירוע שאירע לפני כ-9 שנים. בנוסף א.א תיארה אירועים שקרו בעת שישנה במיטה של הסבתא והנאשם בביתם, והנאשם נגע באיבר מינה, כאשר הסבתא ישנה. האם העידה כי ילדיה הרבו לשהות בבית הסבתא והנאשם, ואלו היו דומיננטיים בחיי ילדיה. האם העידה שא.א סיפרה על אודות האירועים על פי הבתים שבהם התגוררו הנאשם והסבתא כיוון שהם הרבו לעבור מדירה לדירה. א.א סיפרה שהאירוע האחרון קרה בבית שנשרף. </w:t>
            </w:r>
          </w:p>
          <w:p w:rsidR="00A959A2" w:rsidRDefault="00A959A2" w:rsidP="00A959A2">
            <w:pPr>
              <w:pStyle w:val="a"/>
              <w:numPr>
                <w:ilvl w:val="0"/>
                <w:numId w:val="0"/>
              </w:numPr>
              <w:tabs>
                <w:tab w:val="left" w:pos="720"/>
              </w:tabs>
              <w:ind w:left="720"/>
              <w:jc w:val="both"/>
              <w:rPr>
                <w:rtl/>
              </w:rPr>
            </w:pPr>
            <w:r>
              <w:rPr>
                <w:rFonts w:hint="cs"/>
                <w:rtl/>
              </w:rPr>
              <w:t xml:space="preserve">הנאשם היה אדם קרוב שהיא כל כך אהבה, והיא ראתה בו אדם טוב. היא הייתה מאוד קרובה אליו. יחסיה עם הנאשם היו טובים ולא היה כל סכסוך ביניהם, ילדיה אהבו אותו וראו בו סב לכל דבר. הנאשם היה מפנק את א.א </w:t>
            </w:r>
            <w:r>
              <w:rPr>
                <w:rFonts w:hint="cs"/>
                <w:rtl/>
              </w:rPr>
              <w:lastRenderedPageBreak/>
              <w:t xml:space="preserve">וקונה לה מתנות. א.א הייתה ילדה קטנה ולא הבינה שמה שקורה אינו תקין. א.א חשה כנכדה המועדפת על ידו ולא ניתן לצפות מילדה רכה בשנים להבין שמה שהנאשם עשה אינו תקין (עמ' 14-15).  </w:t>
            </w:r>
          </w:p>
          <w:p w:rsidR="00A959A2" w:rsidRDefault="00A959A2" w:rsidP="00A959A2">
            <w:pPr>
              <w:pStyle w:val="a"/>
              <w:numPr>
                <w:ilvl w:val="0"/>
                <w:numId w:val="0"/>
              </w:numPr>
              <w:tabs>
                <w:tab w:val="left" w:pos="720"/>
              </w:tabs>
              <w:ind w:left="720"/>
              <w:jc w:val="both"/>
              <w:rPr>
                <w:rtl/>
              </w:rPr>
            </w:pPr>
            <w:r>
              <w:rPr>
                <w:rFonts w:hint="cs"/>
                <w:rtl/>
              </w:rPr>
              <w:t xml:space="preserve">א.א הבינה בסביבות גיל 10 שמשהו אינו כשורה, זאת לאחר שילד בכיתה דיבר על איך מביאים ילדים לעולם. כאשר הבינה, עצרה את המעשים. במהלך שלוש שנים לאחר תום המעשים היא שמרה על הסוד. באותן השנים לא הרבו לבקר בביתם כיוון שהנאשם והסבתא התגוררו בבית קטן מאוד ובהמשך בשל מגבלות הקורונה נמנעו מלישון בביתם. האֵם העידה כי בכל הדירות שבהן התגוררו הנאשם והסבתא, היא ומשפחתה הגיעו להתארח ללינה, מכיוון שהם שומרי שבת, פרט לדירה אחת שהייתה קטנה ובלתי מתאימה לאירוח (עמ' 17-18). לעיתים א.א ישנה במיטה עם הסבתא והנאשם כיוון שרצתה בכך. הייתה ישנה לצד הסבתא אך מחשש שהיא עלולה ליפול, הסבתא הייתה מעבירה אותה למרכז המיטה בינה לבין הנאשם (עמ' 15-16). האֵם העידה שהסבתא ישנה מאוד חזק ומצליחה להירדם גם כאשר יש רעש, כך למשל נרדמת בסלון כאשר הנכדים מתרוצצים סביבה. הנאשם אדם חכם והשילוב הזה אפשר לו לבצע את המעשים מבלי שהסבתא תשים לכך לב (עמ' 13). </w:t>
            </w:r>
          </w:p>
          <w:p w:rsidR="00A959A2" w:rsidRDefault="00A959A2" w:rsidP="00A959A2">
            <w:pPr>
              <w:pStyle w:val="a"/>
              <w:numPr>
                <w:ilvl w:val="0"/>
                <w:numId w:val="0"/>
              </w:numPr>
              <w:tabs>
                <w:tab w:val="left" w:pos="720"/>
              </w:tabs>
              <w:ind w:left="720"/>
              <w:jc w:val="both"/>
            </w:pPr>
            <w:r>
              <w:rPr>
                <w:rFonts w:hint="cs"/>
                <w:rtl/>
              </w:rPr>
              <w:t>יחסיה עם בתה א.א טובים ופתוחים, לעיתים שיתפה בקורות אותה ולעיתים לא שיתפה (עמ' 19). יומיים לאחר שא.א סיפרה לה אודות הפגיעה, הגישו את התלונה והגיעו לבית לין (עמ' 20-21). הבינה מא.א כי במהלך שלוש השנים מאז הבינה את הבעייתיות, הקפידה לשמור על אחותה כאשר הן ישנו בביתם (עמ' 22).</w:t>
            </w:r>
          </w:p>
          <w:p w:rsidR="00A959A2" w:rsidRDefault="00A959A2" w:rsidP="00A959A2">
            <w:pPr>
              <w:pStyle w:val="a"/>
              <w:numPr>
                <w:ilvl w:val="0"/>
                <w:numId w:val="0"/>
              </w:numPr>
              <w:tabs>
                <w:tab w:val="left" w:pos="720"/>
              </w:tabs>
              <w:ind w:left="720"/>
              <w:jc w:val="both"/>
            </w:pPr>
            <w:r>
              <w:rPr>
                <w:rFonts w:hint="cs"/>
                <w:rtl/>
              </w:rPr>
              <w:t xml:space="preserve">האם העידה על טיב יחסיה עם הנאשם ועל היחסים במשפחה. יחסיה של האם עם אימה (הסבתא) הם טובים מאוד, אימה והנאשם היו חלק בלתי נפרד מחייהם. יחסיה עם הנאשם היו טובים, ראתה בו אב לכל דבר, אהבה אותו. הבינה מא.א שהיא נמנעה מלספר לה כיוון שידעה עד כמה אהבה את הנאשם ועד כמה הוא היה חשוב לה. א.א אמרה לה שהתכוונה לספר לה אודות הפגיעות רק לאחר שהנאשם ימות. הנאשם היה אדם דואג ואוהב וההבנה שבמקביל הוא האדם שהכי פגע בה, בילדיה ובמשפחתה – ריסקה אותה נפשית (עמ' 22-23). מכירה את הנאשם מגיל צעיר, ומעולם לא חשה כל התנהגות מינית מצדו כלפיה כאשר הייתה ילדה (עמ'  24). הנאשם נהג לקנות מתנות לכולם ולא רק לא.א. א.א סיפרה לה שהנאשם הרבה לקנות לה דברים שהיא אוהבת (עמ' 31). </w:t>
            </w:r>
          </w:p>
          <w:p w:rsidR="00A959A2" w:rsidRDefault="00A959A2" w:rsidP="00A959A2">
            <w:pPr>
              <w:pStyle w:val="a"/>
              <w:numPr>
                <w:ilvl w:val="0"/>
                <w:numId w:val="0"/>
              </w:numPr>
              <w:tabs>
                <w:tab w:val="left" w:pos="720"/>
              </w:tabs>
              <w:ind w:left="720"/>
              <w:jc w:val="both"/>
              <w:rPr>
                <w:rtl/>
              </w:rPr>
            </w:pPr>
            <w:r>
              <w:rPr>
                <w:rFonts w:hint="cs"/>
                <w:rtl/>
              </w:rPr>
              <w:t xml:space="preserve">האֵם תיארה את אימה (הסבתא) כאישה טובה ותמימה, ישרה ואמינה. כאשר נשאלה ביחס להודעת אמה במשטרה כי בבית שנשרף א.א לא ישנה בינה לבין הנאשם, אלא לצד הסבתא, השיבה שגם כאשר א.א הייתה קטנה הייתה נרדמת לצד הסבתא ובהמשך הלילה הייתה מעבירה אותה למרכז המיטה כדי שלא תיפול. כאשר הייתה גדולה יותר, האֵם השיבה שאינה יודעת בוודאות. הסבתא סיפרה לה שהיא נהגה להעביר את א.א למרכז המיטה לאחר שא.א הייתה נרדמת. בנוסף האֵם עצמה ראתה את א.א ישנה במרכז המיטה בין הסבתא לנאשם. אינה זוכרת בדיוק באיזה מהבתים זה היה (עמ' 26-28). כאשר נשאלה על גרסת הסבתא שהנאשם היה נרדם ראשון ובני המשפחה נהגו לצחוק על כך שהוא נוחר והסבתא הייתה נרדמת אחריו, ושהיא מרבה להתעורר בלילה וקמה בשעה 5:00 בבוקר, השיבה כי גם אם הסבתא הייתה מרבה להתעורר בלילות, אין מניעה שהפגיעות נעשו לפני או אחרי שהתעוררה ושבה לישון (עמ' 29). </w:t>
            </w:r>
          </w:p>
          <w:p w:rsidR="00A959A2" w:rsidRDefault="00A959A2" w:rsidP="00A959A2">
            <w:pPr>
              <w:pStyle w:val="a"/>
              <w:numPr>
                <w:ilvl w:val="0"/>
                <w:numId w:val="0"/>
              </w:numPr>
              <w:tabs>
                <w:tab w:val="left" w:pos="720"/>
              </w:tabs>
              <w:ind w:left="720"/>
              <w:jc w:val="both"/>
              <w:rPr>
                <w:rtl/>
              </w:rPr>
            </w:pPr>
            <w:r>
              <w:rPr>
                <w:rFonts w:hint="cs"/>
                <w:rtl/>
              </w:rPr>
              <w:t xml:space="preserve">האֵם תיארה את האירוע בו הנאשם פגע בא.א בבית המשפחה (אישום 8). זה היה כאשר היה לה אירוע, אימה לא הייתה והיא פנתה לנאשם בבקשה לשמור על הילדים או שהוא הציע את עזרתו. לפי זיכרונה יצאו מהבית בשעה 20:00 ושבו בחצות (עמ' 30). היו בסך הכל פעמיים שבהן הנאשם שמר לבדו על הילדים בביתה, ללא הסבתא, מפני שהסבתא לא יכלה לעשות כן (עמ' 36). באחד מהמקרים הוא פגע בא.א. האחות הקטנה ישנה והנאשם שלח גם </w:t>
            </w:r>
            <w:r>
              <w:rPr>
                <w:rFonts w:hint="cs"/>
                <w:rtl/>
              </w:rPr>
              <w:lastRenderedPageBreak/>
              <w:t xml:space="preserve">את האח לישון ונותר לבדו עם א.א. האם הבינה מא.א שאמרה לנאשם שיש לה דלקת. בתה שיתפה אותה שלאחר הפגיעה בה באותו אירוע, נתן לה הנאשם 20 ₪ וא.א שאלה אותה האם זה אומר שהיא זונה. זו המסקנה שא.א בתמימותה הרבָּה הסיקה מהסיטואציה הנוראה שחוותה. בזמן אמת האם לא ראתה את הכסף אצל א.א (עמ' 31). כאשר נשאלה על אמרת הנאשם כי באותה עת חל חג הפורים וכי הוא נתן לכל הנכדים כסף לחג, השיבה שתמיד הנאשם והסבתא נתנו בחגים, אך הבינה מא.א שהכסף שקיבלה מהנאשם אינו קשור לחג. האֵם העריכה שא.א הייתה בת 7-8 באותה עת (עמ' 32). </w:t>
            </w:r>
          </w:p>
          <w:p w:rsidR="00A959A2" w:rsidRDefault="00A959A2" w:rsidP="00A959A2">
            <w:pPr>
              <w:pStyle w:val="a"/>
              <w:numPr>
                <w:ilvl w:val="0"/>
                <w:numId w:val="0"/>
              </w:numPr>
              <w:tabs>
                <w:tab w:val="left" w:pos="720"/>
              </w:tabs>
              <w:ind w:left="720"/>
              <w:jc w:val="both"/>
              <w:rPr>
                <w:rtl/>
              </w:rPr>
            </w:pPr>
            <w:r>
              <w:rPr>
                <w:rFonts w:hint="cs"/>
                <w:rtl/>
              </w:rPr>
              <w:t xml:space="preserve">היא ידעה שהנאשם עבר אירוע מוחי בעבר, אך תפקודו לא נפגע עקב כך (עמ' 23-24). המעשים החלו שא.א הייתה קטנה והיא גדלה לתוך המצב הזה. ההבנה של א.א שהמצב אינו תקין הייתה תהליך הדרגתי, הבינה שמשהו לא בסדר, ולאחר שסיפרה לחברותיה הבינה מתגובתן שמשהו לא נורמלי ושהיא צריכה לשתף את אימה. רק מאוחר יותר הבינה את חומרת המעשים. א.א חששה לספר לה כיוון שחשבה שאולי לא תאמין לה כיוון שהיא אוהבת את הנאשם ולא רצתה שסבתה תוותר לבד ודאגה לה (עמ' 33). </w:t>
            </w:r>
          </w:p>
          <w:p w:rsidR="00A959A2" w:rsidRDefault="00A959A2" w:rsidP="00A959A2">
            <w:pPr>
              <w:pStyle w:val="a"/>
              <w:numPr>
                <w:ilvl w:val="0"/>
                <w:numId w:val="0"/>
              </w:numPr>
              <w:tabs>
                <w:tab w:val="left" w:pos="720"/>
              </w:tabs>
              <w:ind w:left="720"/>
              <w:jc w:val="both"/>
              <w:rPr>
                <w:rtl/>
              </w:rPr>
            </w:pPr>
            <w:r>
              <w:rPr>
                <w:rFonts w:hint="cs"/>
                <w:rtl/>
              </w:rPr>
              <w:t xml:space="preserve">בהתאם לתיאור של א.א לגבי מיקום הפגיעה הראשונה, היא מבינה שהייתה כבת 4 (עמ' 25-26). טרם החשיפה חשו שא.א מרבה להיות לבדה וסברו שזה קשור לגיל ההתבגרות. במבט לאחור סבורה שא.א חוותה משבר למרות שהיא ילדה חיובית ואהודה (עמ' 34-36). בנוגע לסרטים הפורנוגרפיים שהראה לא.א, מסרה האם שהיא עצמה לא ראתה משהו בנוגע לכך אצל הנאשם (עמ' 38). </w:t>
            </w:r>
          </w:p>
          <w:p w:rsidR="00A959A2" w:rsidRDefault="00A959A2" w:rsidP="00A959A2">
            <w:pPr>
              <w:pStyle w:val="a"/>
              <w:numPr>
                <w:ilvl w:val="0"/>
                <w:numId w:val="0"/>
              </w:numPr>
              <w:tabs>
                <w:tab w:val="left" w:pos="720"/>
              </w:tabs>
              <w:ind w:left="720"/>
              <w:jc w:val="both"/>
              <w:rPr>
                <w:rtl/>
              </w:rPr>
            </w:pPr>
            <w:r>
              <w:rPr>
                <w:rFonts w:hint="cs"/>
                <w:rtl/>
              </w:rPr>
              <w:t xml:space="preserve">במסגרת תרגיל חקירה, היא הקליטה את הנאשם שהיה עצור. בשיחה הנאשם הכחיש כליל את המעשים, וטען "שהלבישו עליו תיק" (עמ' 45-46) (ראו גם ת/ 19). </w:t>
            </w:r>
          </w:p>
          <w:p w:rsidR="00A959A2" w:rsidRDefault="00A959A2" w:rsidP="00A959A2">
            <w:pPr>
              <w:pStyle w:val="a"/>
              <w:numPr>
                <w:ilvl w:val="0"/>
                <w:numId w:val="0"/>
              </w:numPr>
              <w:tabs>
                <w:tab w:val="left" w:pos="720"/>
              </w:tabs>
              <w:ind w:left="720"/>
              <w:jc w:val="both"/>
              <w:rPr>
                <w:rtl/>
              </w:rPr>
            </w:pPr>
            <w:r>
              <w:rPr>
                <w:rFonts w:hint="cs"/>
                <w:rtl/>
              </w:rPr>
              <w:t xml:space="preserve">האם הכחישה קיומו של סכסוך משמעותי במשפחה שיכול להוות רקע לתלונת שווא. הייתה מריבה נקודתית בין הנאשם לסבתא בראש השנה, והאם ניסתה להשלים ביניהם, אך הדבר היה נקודתי והסתיים (עמ' 47). </w:t>
            </w:r>
          </w:p>
          <w:p w:rsidR="00A959A2" w:rsidRDefault="00A959A2" w:rsidP="00A959A2">
            <w:pPr>
              <w:pStyle w:val="a"/>
              <w:jc w:val="both"/>
              <w:rPr>
                <w:rtl/>
              </w:rPr>
            </w:pPr>
            <w:r>
              <w:rPr>
                <w:rFonts w:hint="cs"/>
                <w:rtl/>
              </w:rPr>
              <w:t>בסיכומו של דבר, עדות אימה של א.א הייתה מהימנה מאוד. היא דייקה בפרטים, מסרה את הדברים שזכרה, ולא ניכרה בדבריה מגמה להפליל את הנאשם. עדות האם חיזקה במישורים שונים את עדותה של א.א. כך למשל, האם אישרה את המקרה שבו בבית המשפחה שמר הנאשם לבדו על א.א ועל אחיה. וכך גם מחזקת את תיאור ההתנהלות שבה א.א נהגה לישון במיטת הנאשם והסבתא בביתם, וכי הסבתא הייתה מעבירה את א.א לאמצע המיטה בינה לבין הנאשם. עדות האם מחזקת את האותנטיות של אירוע החשיפה, שבו חשפה א.א את המעשים בפניה. עדות האם מחזקת את המסקנה שלא קדם סכסוך כלשהו במשפחה אשר יוכל לתמוך בטענת ההגנה שמדובר בעלילת שווא. לפיכך, עדות האם מחזקת באופן משמעותי את עדותה של א.א.</w:t>
            </w:r>
          </w:p>
          <w:p w:rsidR="00A959A2" w:rsidRDefault="00A959A2" w:rsidP="00A959A2">
            <w:pPr>
              <w:pStyle w:val="a"/>
              <w:numPr>
                <w:ilvl w:val="0"/>
                <w:numId w:val="0"/>
              </w:numPr>
              <w:tabs>
                <w:tab w:val="left" w:pos="720"/>
              </w:tabs>
              <w:ind w:left="720" w:hanging="720"/>
              <w:rPr>
                <w:u w:val="single"/>
                <w:rtl/>
              </w:rPr>
            </w:pPr>
            <w:r>
              <w:rPr>
                <w:rFonts w:hint="cs"/>
                <w:b/>
                <w:bCs/>
                <w:u w:val="single"/>
                <w:rtl/>
              </w:rPr>
              <w:t>סיכום חקירת ילדים של שתי חברותיה של א.א – חיזוק לעדותה</w:t>
            </w:r>
          </w:p>
          <w:p w:rsidR="00A959A2" w:rsidRDefault="00A959A2" w:rsidP="00A959A2">
            <w:pPr>
              <w:pStyle w:val="a"/>
              <w:jc w:val="both"/>
              <w:rPr>
                <w:rtl/>
              </w:rPr>
            </w:pPr>
            <w:r>
              <w:rPr>
                <w:rFonts w:hint="cs"/>
                <w:rtl/>
              </w:rPr>
              <w:t xml:space="preserve">עדויות שתי חברותיה של א.א – ל.ל ו-ל.א – בנוגע לחשיפת המעשים לפניהם על-ידי א.א, מחזקות אף הן את עדותה של א.א ותומכות במהימנותה. מתוך העדויות עולה שא.א סיפרה להן על המעשים שחוותה, מבלי שהבינה את חומרת המעשים, וכן התייחסו למצבה הנפשי של א.א בעת חשיפת המעשים. עדותן בנוגע לחשיפת המעשים על ידי א.א, מחזקת את המסקנה שא.א חששה מכך שחשיפת המעשים תפגע במשפחה ולכן העדיפה תחילה שלא לספר על הדברים לאימה, ומנגד חששה שהנאשם יפגע מינית אף באחותה הקטנה. כמו כן, עולה מעדותן שברקע לחשיפה לא עומד סכסוך במשפחה. דברים אלה עומדים בסתירה לטענת ההגנה בדבר עלילת שווא. </w:t>
            </w:r>
          </w:p>
          <w:p w:rsidR="00A959A2" w:rsidRDefault="00A959A2" w:rsidP="00A959A2">
            <w:pPr>
              <w:pStyle w:val="a"/>
              <w:jc w:val="both"/>
              <w:rPr>
                <w:rtl/>
              </w:rPr>
            </w:pPr>
            <w:r>
              <w:rPr>
                <w:rFonts w:hint="cs"/>
                <w:b/>
                <w:bCs/>
                <w:color w:val="auto"/>
                <w:rtl/>
              </w:rPr>
              <w:lastRenderedPageBreak/>
              <w:t>סיכום</w:t>
            </w:r>
            <w:r>
              <w:rPr>
                <w:rFonts w:hint="cs"/>
                <w:b/>
                <w:bCs/>
                <w:rtl/>
              </w:rPr>
              <w:t xml:space="preserve"> חקירת ילדים של ל.ל (חברתה של א.א) </w:t>
            </w:r>
            <w:r>
              <w:rPr>
                <w:rFonts w:hint="cs"/>
                <w:rtl/>
              </w:rPr>
              <w:t xml:space="preserve">(ת/7, ת/7א') – ל.ל תיארה סיטואציה בה א.א שיתפה אותה בכך שנפגעה מינית על ידי סבה. ל.ל תיארה את הפגיעות ששמעה מא.א ואת מצבה הרגשי המורכב בעת שסיפרה על אודות הפגיעות, הייתה עצובה, בכתה ופחדה. ל.ל מסרה שא.א ראתה את תגובתה החמורה, וכך הבינה עד כמה הפגיעות בה הן חמורות. שתיהן בכו במהלך השיחה ביניהן. ל.ל שכנעה את א.א לספר על כך לאימה, ואף הייתה נוכחת בעת שא.א שיתפה את אימה בפגיעה שחוותה. א.א בכתה בעת שסיפרה לאימה על המעשים, וגם האֵם בכתה והייתה נסערת. א.א ביקשה מהאֵם שלא לספר על כך לאף אחד (ת/7, עמ' 4). א.א הביעה חשש שהנאשם יעשה גם לאחותה, ח.ח, את אשר עשה לה, ולכן כשאחותה נהגה ללכת אל הסבתא והנאשם, אז א.א הייתה גם הולכת לישון אצלם, כדי לבדוק שהוא לא עושה לה את זה. ל.ל התייחסה לזמן, למקום ולנסיבות תוך ששילבה ציטוטים. התייחסה לדמויות נוספות ששמעו את דבריה של א.א – חברה נוספת, אימה של ל.ל ואימה של א.א. כן מסרה כי שמעה מא.א שפחדה לספר על אודות הפגיעות כדי לא לפגוע בנאשם בהיותו מבוגר ומסכן, מפני שריחמה עליו וחששה לפרק את המשפחה. </w:t>
            </w:r>
          </w:p>
          <w:p w:rsidR="00A959A2" w:rsidRDefault="00A959A2" w:rsidP="00A959A2">
            <w:pPr>
              <w:pStyle w:val="a"/>
              <w:numPr>
                <w:ilvl w:val="0"/>
                <w:numId w:val="0"/>
              </w:numPr>
              <w:tabs>
                <w:tab w:val="left" w:pos="720"/>
              </w:tabs>
              <w:ind w:left="720"/>
              <w:jc w:val="both"/>
            </w:pPr>
            <w:r>
              <w:rPr>
                <w:rFonts w:hint="cs"/>
                <w:rtl/>
              </w:rPr>
              <w:t xml:space="preserve">עורכת החקירה לא התרשמה ממגמת הגזמה או הפללה בדבריה של ל.ל והתרשמה מאותנטיות דבריה, ואכן זו המסקנה המתבקשת מדבריה של ל.ל.  </w:t>
            </w:r>
          </w:p>
          <w:p w:rsidR="00A959A2" w:rsidRDefault="00A959A2" w:rsidP="00A959A2">
            <w:pPr>
              <w:pStyle w:val="a"/>
              <w:jc w:val="both"/>
            </w:pPr>
            <w:r>
              <w:rPr>
                <w:rFonts w:hint="cs"/>
                <w:b/>
                <w:bCs/>
                <w:rtl/>
              </w:rPr>
              <w:t xml:space="preserve">חקירת ילדים של ל.א </w:t>
            </w:r>
            <w:r>
              <w:rPr>
                <w:rFonts w:hint="cs"/>
                <w:rtl/>
              </w:rPr>
              <w:t>(ת/22; ת/22א') – ל.א, בת 13, ברמת הבנה התואמת את גילה. תיארה בעדותה סיטואציה בה שמעה מא.א שנפגעה מינית על ידי סבה. תיארה את תוכן הפגיעה כפי ששמעה מא.א ואת מצבה הנפשי של א.א בעת שסיפרה על אודות הפגיעה. התייחסה לזמן ולמקום, תיארה את האינטראקציה ביניהן תוך מתן ציטוטים. א.א לא רצתה לספר על כך לאף אחד אחר או לאימה, כי לא רצתה לפרק את המשפחה. סבתה אהבה מאוד את הנאשם, ומשפחתה אהבה אותו, וא.א לא רצתה שיכאב להם לשמוע את זה. א.א פחדה שזה יקרה גם לאחותה הקטנה (ח.ח), ולכן שקלה לספר (ת/22, עמ' 2-3).</w:t>
            </w:r>
          </w:p>
          <w:p w:rsidR="00A959A2" w:rsidRDefault="00A959A2" w:rsidP="00A959A2">
            <w:pPr>
              <w:pStyle w:val="a"/>
              <w:numPr>
                <w:ilvl w:val="0"/>
                <w:numId w:val="0"/>
              </w:numPr>
              <w:tabs>
                <w:tab w:val="left" w:pos="720"/>
              </w:tabs>
              <w:ind w:left="720"/>
              <w:jc w:val="both"/>
              <w:rPr>
                <w:rtl/>
              </w:rPr>
            </w:pPr>
            <w:r>
              <w:rPr>
                <w:rFonts w:hint="cs"/>
                <w:rtl/>
              </w:rPr>
              <w:t xml:space="preserve">עורכת החקירה התרשמה של.א שמעה מא.א על תוכן הפגיעה, וכן תיארה את מצבה הרגשי של א.א בעת שסיפרה לה. עורכת החקירה התרשמה מאותנטיות דבריה, וזו אכן המסקנה המתבקשת אף מדבריה של ל.א. </w:t>
            </w:r>
          </w:p>
          <w:p w:rsidR="00A959A2" w:rsidRDefault="00A959A2" w:rsidP="00A959A2">
            <w:pPr>
              <w:pStyle w:val="a"/>
              <w:jc w:val="both"/>
            </w:pPr>
            <w:r>
              <w:rPr>
                <w:rFonts w:hint="cs"/>
                <w:rtl/>
              </w:rPr>
              <w:t>חקירות הילדים של שתי חברותיה של א.א מחזקות את מהימנות גרסתה. אכן, המסקנה המתבקשת מחקירות אלה היא שמדובר בדברים אותנטיים שמסרו שתי החברות בנוגע לאופן חשיפת המעשים על ידי א.א, בנוגע לסיבות שהובילו את א.א לספר על המעשים (החשש שהנאשם יפגע גם באחותה הקטנה), ובהעדר מגמת ההפללה (א.א לא רצתה לפגוע בו משום שהוא "מבוגר ומסכן"). כל זאת, באופן אשר מחזק את מהימנותה של א.א.</w:t>
            </w:r>
          </w:p>
          <w:p w:rsidR="00A959A2" w:rsidRDefault="00A959A2" w:rsidP="00A959A2">
            <w:pPr>
              <w:pStyle w:val="a"/>
              <w:numPr>
                <w:ilvl w:val="0"/>
                <w:numId w:val="0"/>
              </w:numPr>
              <w:tabs>
                <w:tab w:val="left" w:pos="720"/>
              </w:tabs>
              <w:ind w:left="720"/>
              <w:jc w:val="both"/>
            </w:pPr>
            <w:r>
              <w:rPr>
                <w:rFonts w:hint="cs"/>
                <w:rtl/>
              </w:rPr>
              <w:t xml:space="preserve">מדובר בגרסאות אשר מתארות את אופן חשיפת המעשים לראשונה בפני החברות, בנות גילה של א.א, ואשר בעקבות זאת א.א חשפה את הדברים לאימה. יש בדברים אלה כדי להוכיח את מצבה הנפשי הנסער של א.א בעת ששיתפה במעשים, ולחזק את המסקנה בדבר העדר מגמת הפללה מצד א.א. </w:t>
            </w:r>
          </w:p>
          <w:p w:rsidR="00A959A2" w:rsidRDefault="00A959A2" w:rsidP="00A959A2">
            <w:pPr>
              <w:pStyle w:val="a"/>
              <w:numPr>
                <w:ilvl w:val="0"/>
                <w:numId w:val="0"/>
              </w:numPr>
              <w:tabs>
                <w:tab w:val="left" w:pos="720"/>
              </w:tabs>
              <w:jc w:val="both"/>
            </w:pPr>
            <w:r>
              <w:rPr>
                <w:rFonts w:hint="cs"/>
                <w:b/>
                <w:bCs/>
                <w:u w:val="single"/>
                <w:rtl/>
              </w:rPr>
              <w:t>עדות הדודה</w:t>
            </w:r>
          </w:p>
          <w:p w:rsidR="00A959A2" w:rsidRDefault="00A959A2" w:rsidP="00A959A2">
            <w:pPr>
              <w:pStyle w:val="a"/>
              <w:jc w:val="both"/>
            </w:pPr>
            <w:r>
              <w:rPr>
                <w:rFonts w:hint="cs"/>
                <w:rtl/>
              </w:rPr>
              <w:t xml:space="preserve">דודתה של א.א העידה בבית המשפט (עמ' 184 ואילך). היא אחות אביה של א.א וגיסתה של האם. באחד הימים האֵם התקשרה אליה, הן נפגשו, והאם הייתה נסערת מאוד וסיפרה לה על הדברים. היא ליוותה את האם ואת א.א לבית לין, למסירת עדותה של א.א לפני חוקרת הילדים. בעת שהמתינו בבית לין, א.א שיתפה אותה בכך שחששה </w:t>
            </w:r>
            <w:r>
              <w:rPr>
                <w:rFonts w:hint="cs"/>
                <w:rtl/>
              </w:rPr>
              <w:lastRenderedPageBreak/>
              <w:t xml:space="preserve">לספר לאימה על הדברים, ושיתפה אותה במעשים שביצע בה הנאשם. כשא.א סיפרה לה על הדברים, א.א היתה מבוהלת ומפוחדת (עמ' 186). יודעת שהאם מאוד אהבה את הנאשם. </w:t>
            </w:r>
          </w:p>
          <w:p w:rsidR="00A959A2" w:rsidRDefault="00A959A2" w:rsidP="00A959A2">
            <w:pPr>
              <w:pStyle w:val="a"/>
              <w:numPr>
                <w:ilvl w:val="0"/>
                <w:numId w:val="0"/>
              </w:numPr>
              <w:tabs>
                <w:tab w:val="left" w:pos="720"/>
              </w:tabs>
              <w:ind w:left="720"/>
              <w:jc w:val="both"/>
              <w:rPr>
                <w:rtl/>
              </w:rPr>
            </w:pPr>
            <w:r>
              <w:rPr>
                <w:rFonts w:hint="cs"/>
                <w:rtl/>
              </w:rPr>
              <w:t xml:space="preserve">עדות הדודה הייתה מהימנה אף היא ותומכת אף היא באופן חשיפת המעשים על ידי א.א באופן שמחזק את עדותה. </w:t>
            </w:r>
          </w:p>
          <w:p w:rsidR="00A959A2" w:rsidRDefault="00A959A2" w:rsidP="00A959A2">
            <w:pPr>
              <w:pStyle w:val="a"/>
              <w:numPr>
                <w:ilvl w:val="0"/>
                <w:numId w:val="0"/>
              </w:numPr>
              <w:tabs>
                <w:tab w:val="left" w:pos="720"/>
              </w:tabs>
              <w:ind w:left="720" w:hanging="720"/>
              <w:rPr>
                <w:b/>
                <w:bCs/>
                <w:u w:val="single"/>
              </w:rPr>
            </w:pPr>
            <w:r>
              <w:rPr>
                <w:rFonts w:hint="cs"/>
                <w:b/>
                <w:bCs/>
                <w:u w:val="single"/>
                <w:rtl/>
              </w:rPr>
              <w:t>טענות ההגנה למחדלי חקירה</w:t>
            </w:r>
          </w:p>
          <w:p w:rsidR="00A959A2" w:rsidRDefault="00A959A2" w:rsidP="00A959A2">
            <w:pPr>
              <w:pStyle w:val="a"/>
              <w:jc w:val="both"/>
            </w:pPr>
            <w:r>
              <w:rPr>
                <w:rFonts w:hint="cs"/>
                <w:rtl/>
              </w:rPr>
              <w:t>ההגנה טענה למחדלי חקירה, ובפרט טענה כי החוקר רס"ב דודי לוי אמר שהוא העביר את כל המסמכים שהיו ברשותו לחוקרת הילדים, אך הסתבר שחלק משמעותי מהמסמכים לא הועברו. החוקר נשאל על כך, והשיב שאם הוא לא העביר, אז הוא חושב שלא היה צריך. אילו היו בידי חוקרת הילדים כל המסמכים, הייתה יכולה לעמת את א.א עימם.</w:t>
            </w:r>
          </w:p>
          <w:p w:rsidR="00A959A2" w:rsidRDefault="00A959A2" w:rsidP="00A959A2">
            <w:pPr>
              <w:pStyle w:val="a"/>
              <w:numPr>
                <w:ilvl w:val="0"/>
                <w:numId w:val="0"/>
              </w:numPr>
              <w:tabs>
                <w:tab w:val="left" w:pos="720"/>
              </w:tabs>
              <w:ind w:left="720"/>
              <w:jc w:val="both"/>
              <w:rPr>
                <w:rtl/>
              </w:rPr>
            </w:pPr>
            <w:r>
              <w:rPr>
                <w:rFonts w:hint="cs"/>
                <w:rtl/>
              </w:rPr>
              <w:t>המאשימה הבהירה כי רס"ב דודי לוי שריכז את החקירה נשאל ע"י ההגנה לגבי פעולות חקירה שלא בוצעו בתיק, וגם אילו היה ניתן לבצע פעולות חקירה נוספות, אין המדובר בפעולות חקירה מהותיות שעולות כדי מחדל חקירתי שיש בו כדי לפגוע בהגנת הנאשם.</w:t>
            </w:r>
          </w:p>
          <w:p w:rsidR="00A959A2" w:rsidRDefault="00A959A2" w:rsidP="00A959A2">
            <w:pPr>
              <w:pStyle w:val="a"/>
              <w:jc w:val="both"/>
            </w:pPr>
            <w:r>
              <w:rPr>
                <w:rFonts w:hint="cs"/>
                <w:rtl/>
              </w:rPr>
              <w:t xml:space="preserve">לאחר בחינת חקירת המשטרה, המסקנה המתבקשת היא שלא נפלו בחקירה פגמים אשר פגעו בהגנת הנאשם. החוקר רס"ב דודי לוי, אשר ריכז את החקירה, העיד על פעולות החקירה שביצע (עמ' 194 לפרו' ואילך; ת/18-14). החוקר גבה הודעה מאִמן של א.א וח.ח. בשום שלב הוא לא ביקש מהאֵם שתחקור את ילדיה, אלא העו"ס אמרה לאימא לשאול אותם שאלות מסוימות בנוגע לנאשם (עמ' 197-199). לחוקרת הילדים שחקרה את א.א העבירו את חומר החקירה שהיה בידי המשטרה באותה עת, אך לא תיעד באופן ברור מה העביר לה, וכן לא העביר לה את הודעות של הסבתא (עמ' 208, 212). </w:t>
            </w:r>
          </w:p>
          <w:p w:rsidR="00A959A2" w:rsidRDefault="00A959A2" w:rsidP="00A959A2">
            <w:pPr>
              <w:pStyle w:val="a"/>
              <w:numPr>
                <w:ilvl w:val="0"/>
                <w:numId w:val="0"/>
              </w:numPr>
              <w:tabs>
                <w:tab w:val="left" w:pos="720"/>
              </w:tabs>
              <w:ind w:left="720"/>
              <w:jc w:val="both"/>
            </w:pPr>
            <w:r>
              <w:rPr>
                <w:rFonts w:hint="cs"/>
                <w:rtl/>
              </w:rPr>
              <w:t>המסקנה המתבקשת בבחינת טענת ההגנה למחדלי חקירה, היא שלא נפל פגם באופן ניהול החקירה אשר יהיה בו כדי להשפיע על תוצאת ההליך, אם כי ראוי היה לתעד כנדרש את העברת החומרים מהמשטרה לחוקרת הילדים. גם אילו ניתן היה לבצע פעולות חקירה נוספת, אין המדובר במחדל שיש בו כדי לפגוע בהגנת הנאשם.</w:t>
            </w:r>
          </w:p>
          <w:p w:rsidR="00A959A2" w:rsidRDefault="00A959A2" w:rsidP="00A959A2">
            <w:pPr>
              <w:pStyle w:val="a"/>
              <w:numPr>
                <w:ilvl w:val="0"/>
                <w:numId w:val="0"/>
              </w:numPr>
              <w:tabs>
                <w:tab w:val="left" w:pos="720"/>
              </w:tabs>
              <w:ind w:left="720" w:hanging="720"/>
              <w:rPr>
                <w:b/>
                <w:bCs/>
                <w:u w:val="single"/>
              </w:rPr>
            </w:pPr>
            <w:r>
              <w:rPr>
                <w:rFonts w:hint="cs"/>
                <w:b/>
                <w:bCs/>
                <w:u w:val="single"/>
                <w:rtl/>
              </w:rPr>
              <w:t>עדות הנאשם והודעותיו בחקירה</w:t>
            </w:r>
          </w:p>
          <w:p w:rsidR="00A959A2" w:rsidRDefault="00A959A2" w:rsidP="00A959A2">
            <w:pPr>
              <w:pStyle w:val="a"/>
              <w:jc w:val="both"/>
              <w:rPr>
                <w:rtl/>
              </w:rPr>
            </w:pPr>
            <w:r>
              <w:rPr>
                <w:rFonts w:hint="cs"/>
                <w:rtl/>
              </w:rPr>
              <w:t xml:space="preserve">הנאשם העיד להגנתו והכחיש מכל וכל את המעשים. העיד כי הוא יליד 1955, הכיר את סבתן של הקטינות, עבר להתגורר עימה, והם היו בזוגיות משנת 2000 (עמ' 217-216). הם עברו בין מספר דירות (עמ' 217). הזוגיות הייתה בסך הכל טובה. הוא נעצר ביום 13.10.21. הופתע מאוד מהמעצר. הנאשם הכחיש מכל וכל את כלל המעשים (עמ' 228). הוא היה כאָב לילדים של הסבתא, וכסב לנכדיה (עמ' 230). </w:t>
            </w:r>
          </w:p>
          <w:p w:rsidR="00A959A2" w:rsidRDefault="00A959A2" w:rsidP="00A959A2">
            <w:pPr>
              <w:pStyle w:val="a"/>
              <w:numPr>
                <w:ilvl w:val="0"/>
                <w:numId w:val="0"/>
              </w:numPr>
              <w:tabs>
                <w:tab w:val="left" w:pos="720"/>
              </w:tabs>
              <w:ind w:left="720"/>
              <w:jc w:val="both"/>
              <w:rPr>
                <w:rtl/>
              </w:rPr>
            </w:pPr>
            <w:r>
              <w:rPr>
                <w:rFonts w:hint="cs"/>
                <w:rtl/>
              </w:rPr>
              <w:t>בנוגע למחסן הכביסה (אישום 1), הבית הראשון שגרו בו אשר א.א תיארה, היה בית קרקע קטן, והיה לו מחסן צמוד, שהייתה בו מכונת כביסה, והיו שם חפצים וקרטונים רבים. הנאשם לא היה עושה כביסה (עמ' 220). בבית הזה</w:t>
            </w:r>
            <w:r>
              <w:rPr>
                <w:rFonts w:hint="cs"/>
                <w:color w:val="auto"/>
                <w:rtl/>
              </w:rPr>
              <w:t xml:space="preserve"> הנכדים ואימם היו מגיעים לביקורים ולארוחות, לא זכור לו שהגיעו לשבתות (עמ' 218). לא חושב שישנו אצלם, אבל יכול להיות שכן, הנכדים של הסבתא היו ישנים בסלון או בחדר שינה (עמ' 219).</w:t>
            </w:r>
          </w:p>
          <w:p w:rsidR="00A959A2" w:rsidRDefault="00A959A2" w:rsidP="00A959A2">
            <w:pPr>
              <w:pStyle w:val="a"/>
              <w:numPr>
                <w:ilvl w:val="0"/>
                <w:numId w:val="0"/>
              </w:numPr>
              <w:tabs>
                <w:tab w:val="left" w:pos="720"/>
              </w:tabs>
              <w:ind w:left="720"/>
              <w:jc w:val="both"/>
              <w:rPr>
                <w:rtl/>
              </w:rPr>
            </w:pPr>
            <w:r>
              <w:rPr>
                <w:rFonts w:hint="cs"/>
                <w:rtl/>
              </w:rPr>
              <w:t xml:space="preserve">בנוגע לסרטונים המיניים (אישום 3), מעולם לא צפה בסרטונים פורנוגרפיים בטלפון הנייד, לא גלש באתרים כאלה באינטרנט, הדבר אינו מעניין אותו, ולא יתכן שהראה זאת לא.א (עמ' 222). בהמשך העיד שאינו נוהג לצפות </w:t>
            </w:r>
            <w:r>
              <w:rPr>
                <w:rFonts w:hint="cs"/>
                <w:rtl/>
              </w:rPr>
              <w:lastRenderedPageBreak/>
              <w:t>בסרטים פורנוגרפיים, למעט מקרה אחד לפני שנים רבות, שהוא והסבתא ראו סרט כזה עם חברים, וכעבור 5 דקות הפסיקו (עמ' 253-254).</w:t>
            </w:r>
          </w:p>
          <w:p w:rsidR="00A959A2" w:rsidRDefault="00A959A2" w:rsidP="00A959A2">
            <w:pPr>
              <w:pStyle w:val="a"/>
              <w:numPr>
                <w:ilvl w:val="0"/>
                <w:numId w:val="0"/>
              </w:numPr>
              <w:tabs>
                <w:tab w:val="left" w:pos="720"/>
              </w:tabs>
              <w:ind w:left="720"/>
              <w:jc w:val="both"/>
              <w:rPr>
                <w:rtl/>
              </w:rPr>
            </w:pPr>
            <w:r>
              <w:rPr>
                <w:rFonts w:hint="cs"/>
                <w:rtl/>
              </w:rPr>
              <w:t xml:space="preserve">בנוגע לעניין המקלחת (אישום 5) מעולם לא נכנס לא.א או לאף אחד אחר למקלחת. אילו היה נכנס למקלחת היו רואים אותו, מכיוון שמדובר בדירות קטנות (עמ' 221). מעולם לא ראה את א.א עירומה. </w:t>
            </w:r>
          </w:p>
          <w:p w:rsidR="00A959A2" w:rsidRDefault="00A959A2" w:rsidP="00A959A2">
            <w:pPr>
              <w:pStyle w:val="a"/>
              <w:numPr>
                <w:ilvl w:val="0"/>
                <w:numId w:val="0"/>
              </w:numPr>
              <w:tabs>
                <w:tab w:val="left" w:pos="720"/>
              </w:tabs>
              <w:ind w:left="720"/>
              <w:jc w:val="both"/>
              <w:rPr>
                <w:rtl/>
              </w:rPr>
            </w:pPr>
            <w:r>
              <w:rPr>
                <w:rFonts w:hint="cs"/>
                <w:rtl/>
              </w:rPr>
              <w:t>בנוגע לאירועים במיטה של הסבתא (אישום 7), אימה של א.א ואביה שומרי שבת, ולכן היו מגיעים אליהם לשבתות וישנים אצלם (עמ' 231; 243). א.א מעולם לא ישנה בינו לבין הסבתא בצורה כפי שהיא מתארת (עמ' 220). לא היה מקרה שבו א.א הייתה ישנה באמצע והוא היה ער. ברוב המקרים הסבתא הייתה מרדימה את א.א בצד שלה, ואחרי שא.א הייתה נרדמת, הייתה מעבירה אותה לאמצע (עמ' 227). בשנת 2012-2011 הוא עבר אירוע מוחי, ועקב כך מצבו הבריאותי לא היה טוב, היו לו קשיים בהליכה וגם עם היד (עמ' 219). על אף מצבו הבריאותי, היה ביכולתו לעבוד בשטיפת כלים בבית קפה, וכן בגינה (עמ' 249). אחרי האירוע המוחי, בשנים 2012-2011, הייתה לו ירידה בחשק המיני (עמ' 226). בשל מצבו הבריאותי, לא היה ביכולתו לגהור מעליה עם ידיו, בצורה שתיארה, בוודאי שלא כאשר הסבתא ישנה לצידם, מבלי שהיא תתעורר. לסבתא הייתה שינה קלה מאוד, ומכל זבוב קטן הייתה מתעוררת (עמ' 227-228). הנאשם נשאל האִם א.א רצתה לישון במיטה עם הסבתא, תחילה השיב שלא, ואח"כ העיד שכן (עמ' 233). הסבתא הייתה משכיבה את א.א מוקדם יחסית, הוא עוד היה יושב בסלון או בחוץ בחצר. מאוחר יותר, והוא והסבתא היו הולכים לישון, הוא היה נרדם, ואז הסבתא הייתה פוחדת שא.א תיפול, והיא מעבירה אותה לאמצע המיטה (עמ' 251). כאשר הסבתא הייתה נוחרת, הוא היה נוגע בה כדי להעיר אותה (עמ' 251). שנתה של הסבתא הייתה קלה, וכל זבוב או מכונית עוברת היו מעירים אותה, וכך גם כל נגיעה קטנה או תזוזה (עמ' 252-253). הנאשם טען שבבתים הקטנים היו פורסים מזרן על יד המיטה, וא.א הייתה רוצה לישון שם אבל הסבתא הייתה לוקחת אותה לפעמים על ידה, ומשכיבה אותה. הנאשם עוד לא היה במיטה, היה בכלל בחצר או משהו כזה, זה היה בשעות מוקדמות, ולאחר שא.א הייתה נרדמת, הסבתא הייתה מעבירה אותה לאמצע, ואח"כ הוא היה חוזר (עמ' 233, ש' 15-20). הנאשם הכחיש מכל וכל שהיה נוהג לישון עם חגורה (עמ' 246).</w:t>
            </w:r>
          </w:p>
          <w:p w:rsidR="00A959A2" w:rsidRDefault="00A959A2" w:rsidP="00A959A2">
            <w:pPr>
              <w:pStyle w:val="a"/>
              <w:numPr>
                <w:ilvl w:val="0"/>
                <w:numId w:val="0"/>
              </w:numPr>
              <w:tabs>
                <w:tab w:val="left" w:pos="720"/>
              </w:tabs>
              <w:ind w:left="720"/>
              <w:jc w:val="both"/>
            </w:pPr>
            <w:r>
              <w:rPr>
                <w:rFonts w:hint="cs"/>
                <w:rtl/>
              </w:rPr>
              <w:t xml:space="preserve">הנאשם טען כי לא ביצע את המעשים המיוחסים לו, "בפרט האישומים הכבדים", אך כאשר נשאל לפשר דבריו, הסביר כי הוא מכחיש את כל האישומים (עמ' 242). </w:t>
            </w:r>
          </w:p>
          <w:p w:rsidR="00A959A2" w:rsidRDefault="00A959A2" w:rsidP="00A959A2">
            <w:pPr>
              <w:pStyle w:val="a"/>
              <w:jc w:val="both"/>
              <w:rPr>
                <w:rtl/>
              </w:rPr>
            </w:pPr>
            <w:r>
              <w:rPr>
                <w:rFonts w:hint="cs"/>
                <w:rtl/>
              </w:rPr>
              <w:t>בנוגע לסיבה לתלונה, אישר שלא הכיר את א.א כשקרנית או כמי שנוהגת להעליל, ולכן התלונה הפתיעה אותו (עמ' 248). לטענתו, שנה וחצי לפני המעצר היו בינו לבין הסבתא סכסוכים קשים שהובילו לוויכוחים ומריבות, ואחרי כל מקרה כזה הסבתא הייתה הולכת לבתה (אימה של א.א) ומספרת לה על הדברים, ויתכן שהאֵם הייתה מספרת את זה בביתה ליד הילדים (עמ' 223). הוויכוחים היו על בעיות כלכליות, וגם על ביקוריו אצל בנותיו (עמ' 226). האֵם הייתה מתקשרת אליו, והם היו משוחחים על כך (עמ' 223). הוא והסבתא החליטו להיפרד. האֵם אהבה אותו, וגם הוא אהב אותה, אבל היא צידדה באימא שלה (הסבתא). יתכן שא.א שמעה את כל הדברים האלה, וחשבה שהיא צריכה להציל את סבתה (עמ' 224).</w:t>
            </w:r>
          </w:p>
          <w:p w:rsidR="00A959A2" w:rsidRDefault="00A959A2" w:rsidP="00A959A2">
            <w:pPr>
              <w:pStyle w:val="a"/>
              <w:numPr>
                <w:ilvl w:val="0"/>
                <w:numId w:val="0"/>
              </w:numPr>
              <w:tabs>
                <w:tab w:val="left" w:pos="720"/>
              </w:tabs>
              <w:ind w:left="720"/>
              <w:jc w:val="both"/>
              <w:rPr>
                <w:rtl/>
              </w:rPr>
            </w:pPr>
            <w:r>
              <w:rPr>
                <w:rFonts w:hint="cs"/>
                <w:rtl/>
              </w:rPr>
              <w:t xml:space="preserve">בנוגע לסכסוך בינו לבין הסבתא, כל השנים היו ויכוחים ומריבות, וכל פעם אמרו ש"יפרקו את החבילה" (עמ' 233). בשנה וחצי האחרונות שלפני המעצר, הוויכוחים היו בתדירות של פעם בשבוע. אישר שבחקירות במשטרה לא אמר שהתכוונו לפרק את החבילה, אלא טען רק שהיו סכסוכים ביניהם (עמ' 234). הוויכוחים היו על הנושא הכלכלי, ועל הקשר שלו עם בנותיו (עמ' 235). במהלך השנה וחצי האחרונות, נהג לדבר עם האימא, שהייתה מנסה </w:t>
            </w:r>
            <w:r>
              <w:rPr>
                <w:rFonts w:hint="cs"/>
                <w:rtl/>
              </w:rPr>
              <w:lastRenderedPageBreak/>
              <w:t>לסייע לו ולסבתא, עד שהיא בעצמה באיזשהו שלב אמרה לו שאולי כדאי שייפרדו (עמ' 235). מבין שהאימא כלל לא נשאלה על כך בעדותה (עמ' 235). אישר שזמן קצר לפני המעצר חגגו יום הולדת לבעלה של האימא, והנאשם אף בירך את הבעל בסרטון, דבר שאינו מתיישב עם טענתו לסכסוך (עמ' 236). כאשר הוצג לו שהאֵם הייתה בעצם המגשרת בינו לבין הסבתא, טען הנאשם שהוא מעולם לא פנה אליה, אלא היא הייתה פונה אליו, לאחר שהייתה מדברת עם הסבתא (עמ' 238). אישר שבחקירה הראשונה במשטרה לא טען לסכסוך, ומסר שזאת מפני שהיה מופתע מהחקירה, אך היה סכסוך כבד מאוד בשנה וחצי האחרונות (עמ' 239). הנאשם הבהיר שהוא בטוח שהתלונה אינה ביוזמתה של האֵם, אך יתכן שא.א שמעה על כך והחליטה להעליל עליו (עמ' 241). יצוין כי בחקירתו הנגדית אישר הנאשם, לבסוף, כי הסבתא היא אישה תמימה (עמ' 255).</w:t>
            </w:r>
          </w:p>
          <w:p w:rsidR="00A959A2" w:rsidRDefault="00A959A2" w:rsidP="00A959A2">
            <w:pPr>
              <w:pStyle w:val="a"/>
              <w:jc w:val="both"/>
              <w:rPr>
                <w:rtl/>
              </w:rPr>
            </w:pPr>
            <w:r>
              <w:rPr>
                <w:rFonts w:hint="cs"/>
                <w:rtl/>
              </w:rPr>
              <w:t xml:space="preserve">הנאשם נחקר פעמיים במשטרה. בחקירתו הראשונה מיום 13.10.21 (ת/20, ת/20א') טען שהוא מופתע מאוד מהתלונה, והכחיש את הדברים כליל. טען שהיחסים עם הסבתא "מעולים", וכך גם היחסים עם אימה של א.א (ת/20א', עמ' 3). אישר ששמר פעמיים על א.א ואחיה כשההורים לא היו בבית, אך הכחיש את המעשים (ת/20א', עמ' 4, 16). אישר שא.א ישנה לידם במיטה בינו לבין הסבתא, אך הכחיש את המעשים וטען שברוב המקרים הוא נרדם לפני כולם, ושאף פעם אינו ישן עם חגורה (ת/20א', עמ' 5-7). הנאשם הכחיש שהראה לא.א סרטונים בעלי תוכן מיני, והכחיש שגלש באתרים פורנוגרפיים (ת/20א', עמ' 12). </w:t>
            </w:r>
          </w:p>
          <w:p w:rsidR="00A959A2" w:rsidRDefault="00A959A2" w:rsidP="00A959A2">
            <w:pPr>
              <w:pStyle w:val="a"/>
              <w:jc w:val="both"/>
              <w:rPr>
                <w:rtl/>
              </w:rPr>
            </w:pPr>
            <w:r>
              <w:rPr>
                <w:rFonts w:hint="cs"/>
                <w:rtl/>
              </w:rPr>
              <w:t xml:space="preserve">בחקירתו השנייה מיום 24.10.21 (ת/13, ת/13א') חזר הנאשם על כך שהוא מופתע מהחשדות. טען שיחסיו עם הסבתא טובים, אם כי בחודשיים האחרונים היה קצר חריף ביניהם, דבר שכמעט גרם לפירוד ביניהם. בשנה וחצי האחרונות היו עוד שני מקרים של מריבות קשות עם הסבתא, וגם עם אימה של א.א הייתה שיחה קשה (ת/13א', עמ' 2-3). אישר ששימש לאימא של א.א דמות אב, ולנכדות דמות סב. הנאשם הסכים לכל פעולת חקירה שהמשטרה תבקש לבצע (ת/13א', עמ' 9). אישר שהיו מקרים שא.א ישנה במיטתם, ולדבריו היא התעקשה לישון שם, היא ישנה באמצע המיטה. אישר שהסבתא נוחרת (ת/13א', עמ' 16-17). טען ששנתה של הסבתא הייתה קלה, כל זבוב וכל תזוזה קטנה היו יכולים להעיר אותה, מכל נגיעה הכי קטנה הייתה קופצת (ת/13א', עמ' 18, 23, חלק 2 עמ' 2). הנאשם טען כי מדובר בעלילה (ת/13א', עמ' 20). כשא.א. הייתה ישנה עימם במיטה, היא הייתה מחבקת את הסבתא, והוא היה ישן עם הגב אליהן (ת/13א', עמ' 22-23). אישר שפעם או פעמיים שמר על הנכדים לבקשת האימא, כשההורים יצאו, וזאת ללא הסבתא (ת/13א', עמ' 23). לא צפה בסרטי פורנו, אלא לפני כ-15 שנה (ת/13א', עמ' 25). בנוגע לקופיקס, היו הולכים ברגל, משום שזה היה קרוב לבית, כ-200 מטרים (ת/13א', חלק 2, עמ' 6-7). מעולם לא נכנס לה למקלחת (ת/13א', חלק 2, עמ' 8). מעולם לא קנה לא.א מתנות, אלא הסבתא הייתה קונה לה לימי הולדת (ת/13א', חלק 2, עמ' 8). הכחיש כליל גם את המעשים כלפי ח.ח (ת/13א', חלק 2, עמ' 9 ואילך). </w:t>
            </w:r>
          </w:p>
          <w:p w:rsidR="00A959A2" w:rsidRDefault="00A959A2" w:rsidP="00A959A2">
            <w:pPr>
              <w:pStyle w:val="a"/>
              <w:jc w:val="both"/>
            </w:pPr>
            <w:r>
              <w:rPr>
                <w:rFonts w:hint="cs"/>
                <w:rtl/>
              </w:rPr>
              <w:t xml:space="preserve">בנוסף לחקירות הנאשם, ערכה המשטרה </w:t>
            </w:r>
            <w:r>
              <w:rPr>
                <w:rFonts w:hint="cs"/>
                <w:b/>
                <w:bCs/>
                <w:rtl/>
              </w:rPr>
              <w:t>תרגיל חקירה</w:t>
            </w:r>
            <w:r>
              <w:rPr>
                <w:rFonts w:hint="cs"/>
                <w:rtl/>
              </w:rPr>
              <w:t xml:space="preserve"> בין הנאשם לבין האם במהלך מעצרו של הנאשם (ת/19, נ/2). האם הגיעה והקליטה את הנאשם בעת ששוחחה עימו. הנאשם עמד על טענתו שלא היו דברים מעולם, לדבריו "אפילו פסיק מזה לא היה". לדבריו הוא נמצא בסיוט. האם הטיחה בו איך יתכן שדווקא כלפיו, שא.א כל כך אוהבת, היא אומרת דברים כאלה. הנאשם טען שבשנתיים האחרונות לא כל כך אהבו אותו במשפחה, והאם השיבה שאהבו אותו וא.א קראה לו סבא. האם אמרה שהוא היה אבא בשבילה במשך יותר מ-22 שנה, היא אוהבת אותו כאב, והיא הייתה רוצה שזה לא יהיה נכון (ת/19, עמ' 2-3). הנאשם חזר על טענתו, שלא היה ולא נברא. הנאשם הסביר שעבר אירוע מוחי לפני שנים אשר הקשה עליו את התפקוד המיני. </w:t>
            </w:r>
          </w:p>
          <w:p w:rsidR="00A959A2" w:rsidRDefault="00A959A2" w:rsidP="00A959A2">
            <w:pPr>
              <w:pStyle w:val="a"/>
              <w:numPr>
                <w:ilvl w:val="0"/>
                <w:numId w:val="0"/>
              </w:numPr>
              <w:tabs>
                <w:tab w:val="left" w:pos="720"/>
              </w:tabs>
              <w:ind w:left="720" w:hanging="720"/>
              <w:jc w:val="both"/>
              <w:rPr>
                <w:b/>
                <w:bCs/>
                <w:u w:val="single"/>
              </w:rPr>
            </w:pPr>
            <w:r>
              <w:rPr>
                <w:rFonts w:hint="cs"/>
                <w:b/>
                <w:bCs/>
                <w:u w:val="single"/>
                <w:rtl/>
              </w:rPr>
              <w:lastRenderedPageBreak/>
              <w:t>הערכת מהימנות עדות הנאשם</w:t>
            </w:r>
          </w:p>
          <w:p w:rsidR="00A959A2" w:rsidRDefault="00A959A2" w:rsidP="00A959A2">
            <w:pPr>
              <w:pStyle w:val="a"/>
              <w:jc w:val="both"/>
            </w:pPr>
            <w:r>
              <w:rPr>
                <w:rFonts w:hint="cs"/>
                <w:rtl/>
                <w:lang w:eastAsia="he-IL"/>
              </w:rPr>
              <w:t xml:space="preserve">לאחר ששמעתי את עדותו של הנאשם ובחנתי את הודעותיו בחקירה, סבורני כי לא ניתן לתת אמון בעדותו. </w:t>
            </w:r>
          </w:p>
          <w:p w:rsidR="00A959A2" w:rsidRDefault="00A959A2" w:rsidP="00A959A2">
            <w:pPr>
              <w:pStyle w:val="a"/>
              <w:jc w:val="both"/>
            </w:pPr>
            <w:r>
              <w:rPr>
                <w:rFonts w:hint="cs"/>
                <w:rtl/>
              </w:rPr>
              <w:t xml:space="preserve">הנאשם כפר בכלל המעשים המיוחסים לו בכתב האישום, וכך גם ביחס לנסיבות הקשורות בעבירה. בשאלה האם א.א רצתה לישון במיטה עם הסבתא, תחילה השיב הנאשם שלא, ואח"כ מסר שכן (עמ' 233). כך גם בעניין מיקומה של א.א במרכז המיטה בין סבתה לנאשם, טען תחילה כי א.א מעולם לא ישנה בינו לבין הסבתא בצורה כפי שהיא מתארת (עמ' 220), זאת למרות שכבר בעדותו במשטרה אישר שהיו מקרים שא.א ישנה במיטתם, ולדבריו היא התעקשה לישון שם, והיא ישנה באמצע המיטה (ת/13א', עמ' 16-17). בהמשך עדותו העיד כי הסבתא הייתה מרדימה את א.א בצד שלה, ואחרי שא.א הייתה נרדמת, הייתה מעבירה אותה לאמצע (עמ' 227; עמ' 233). </w:t>
            </w:r>
          </w:p>
          <w:p w:rsidR="00A959A2" w:rsidRDefault="00A959A2" w:rsidP="00A959A2">
            <w:pPr>
              <w:pStyle w:val="a"/>
              <w:numPr>
                <w:ilvl w:val="0"/>
                <w:numId w:val="0"/>
              </w:numPr>
              <w:tabs>
                <w:tab w:val="left" w:pos="720"/>
              </w:tabs>
              <w:ind w:left="720"/>
              <w:jc w:val="both"/>
            </w:pPr>
            <w:r>
              <w:rPr>
                <w:rFonts w:hint="cs"/>
                <w:rtl/>
              </w:rPr>
              <w:t>כן טען הנאשם כי לנוכח השינה הקלה של הסבתא, לא היתה היתכנות לביצוע העבירות המיוחסות לו במיטתם, כאשר הסבתא ישנה לצידו ולצד א.א. הנאשם עמד על כך ששנתה של הסבתא הייתה קלה, כדבריו "יש לה שינה קלה, כל נגיעה הכי קטנה או זבוב הכי קטן בחדר היא הייתה מתעוררת" (עמ' 228). לעומת זאת, מעדותה של א.א עלה שהסבתא ישנה חזק והיה קשה להעירה. אימא של א.א אישרה בעדותה שהסבתא הייתה ישנה מאוד עמוק, והייתה אף מצליחה להירדם בסלון כשיש מספר ילדים מתרוצצים (עמ' 13). אף הסבתא בעדותה, כפי שיובהר בהמשך, העידה על עצמה כמי שישנה חזק מאוד (עמ' 322-323).</w:t>
            </w:r>
          </w:p>
          <w:p w:rsidR="00A959A2" w:rsidRDefault="00A959A2" w:rsidP="00A959A2">
            <w:pPr>
              <w:pStyle w:val="a"/>
              <w:jc w:val="both"/>
            </w:pPr>
            <w:r>
              <w:rPr>
                <w:rFonts w:hint="cs"/>
                <w:rtl/>
              </w:rPr>
              <w:t xml:space="preserve">במקביל, הנאשם בעדותו ניסה להעצים את נושא הסכסוך שהיה בינו לבין הסבתא, כהסבר אפשרי לתלונה, וטען כי החל משנה וחצי לפני המעצר, היו בינו לבין הסבתא סכסוכים קשים שהובילו למריבות וויכוחים, ושאחרי כל מקרה הסבתא הייתה הולכת לבתה (אימה של א.א) ומספרת לה על הדברים, האימא הייתה מתקשרת אליו, והם היו משוחחים על כך, וכי הוא והסבתא גם החליטו להיפרד (עמ' 223). לטענת הנאשם יתכן שא.א שמעה על הדברים, ובחרה לספר על המעשים, כדרך לסייע לסבתא. כלומר, לטענתו, הסבתא שיתפה את בתה (אימה של א.א) בדבר המריבות בינו לבין הסבתא, ויתכן שא.א שמעה על כך והחליטה להעליל עליו (עמ' 241). הוא אינו יודע אם א.א היתה ערה למריבות בינו לבין סבתה ובוודאי שלא על רצונה לסייע לסבתה באופן של העללת עלילת שווא אודות פגיעותיו בה, אך זו השערתו. </w:t>
            </w:r>
          </w:p>
          <w:p w:rsidR="00A959A2" w:rsidRDefault="00A959A2" w:rsidP="00A959A2">
            <w:pPr>
              <w:pStyle w:val="a"/>
              <w:numPr>
                <w:ilvl w:val="0"/>
                <w:numId w:val="0"/>
              </w:numPr>
              <w:tabs>
                <w:tab w:val="left" w:pos="720"/>
              </w:tabs>
              <w:ind w:left="720"/>
              <w:jc w:val="both"/>
              <w:rPr>
                <w:rtl/>
              </w:rPr>
            </w:pPr>
            <w:r>
              <w:rPr>
                <w:rFonts w:hint="cs"/>
                <w:rtl/>
              </w:rPr>
              <w:t xml:space="preserve">ואולם דברים אלה של הנאשם נסתרו בעדותה של האֵם, אשר הכחישה קיומו של סכסוך משמעותי במשפחה שיכול להוות רקע לתלונת שווא, הגם שהייתה מריבה נקודתית בין הנאשם לסבתא בראש השנה, והאם ניסתה להשלים ביניהם, אך הדבר היה נקודתי והסתיים (עמ' 47). יצוין כי גם בהודעתו הראשונה במשטרה, לא טען הנאשם לסכסוך, אלא ציין שהיחסים עם הסבתא "מעולים" (ת/20א', עמ' 3). גם עדותה של הסבתא עומדת בסתירה לטענת הנאשם. </w:t>
            </w:r>
          </w:p>
          <w:p w:rsidR="00A959A2" w:rsidRDefault="00A959A2" w:rsidP="00A959A2">
            <w:pPr>
              <w:pStyle w:val="a"/>
              <w:numPr>
                <w:ilvl w:val="0"/>
                <w:numId w:val="0"/>
              </w:numPr>
              <w:tabs>
                <w:tab w:val="left" w:pos="720"/>
              </w:tabs>
              <w:ind w:left="720"/>
              <w:jc w:val="both"/>
              <w:rPr>
                <w:rtl/>
              </w:rPr>
            </w:pPr>
            <w:r>
              <w:rPr>
                <w:rFonts w:hint="cs"/>
                <w:rtl/>
              </w:rPr>
              <w:t xml:space="preserve">כאמור לעיל, הנאשם טען כי אחרי האירוע המוחי, בשנים 2012-2011, הייתה לו ירידה בחשק המיני (עמ' 226). עם זאת, טענה זו לא הוכחה, ואף אילו הייתה מוכחת, אין בירידה בחשק המיני כדי לשלול היתכנות של ביצוע המעשים המתוארים. </w:t>
            </w:r>
          </w:p>
          <w:p w:rsidR="00A959A2" w:rsidRDefault="00A959A2" w:rsidP="00A959A2">
            <w:pPr>
              <w:pStyle w:val="a"/>
              <w:jc w:val="both"/>
              <w:rPr>
                <w:rtl/>
              </w:rPr>
            </w:pPr>
            <w:r>
              <w:rPr>
                <w:rFonts w:hint="cs"/>
                <w:rtl/>
                <w:lang w:eastAsia="he-IL"/>
              </w:rPr>
              <w:t>גרסאותיו המשתנות של הנאשם, טענותיו לגבי עלילה אשר לא נמצא להן בסיס, והסתירה שבין גרסתו ליתר הראיות בתיק, מובילים למסקנה שלא ניתן לתת אמון בגרסתו.</w:t>
            </w:r>
            <w:r>
              <w:rPr>
                <w:rFonts w:hint="cs"/>
                <w:rtl/>
              </w:rPr>
              <w:t xml:space="preserve"> לאור כל האמור לעיל, יש לדחות את עדות הנאשם, ולהעדיף על פניה את עדותה של א.א, אשר זו אף נתמכת בראיות אחרות. </w:t>
            </w:r>
          </w:p>
          <w:p w:rsidR="00A959A2" w:rsidRDefault="00A959A2" w:rsidP="00A959A2">
            <w:pPr>
              <w:pStyle w:val="a"/>
              <w:numPr>
                <w:ilvl w:val="0"/>
                <w:numId w:val="0"/>
              </w:numPr>
              <w:tabs>
                <w:tab w:val="left" w:pos="720"/>
              </w:tabs>
              <w:ind w:left="720" w:hanging="720"/>
              <w:rPr>
                <w:b/>
                <w:bCs/>
                <w:u w:val="single"/>
                <w:rtl/>
              </w:rPr>
            </w:pPr>
            <w:r>
              <w:rPr>
                <w:rFonts w:hint="cs"/>
                <w:b/>
                <w:bCs/>
                <w:u w:val="single"/>
                <w:rtl/>
              </w:rPr>
              <w:lastRenderedPageBreak/>
              <w:t>עדות הסבתא</w:t>
            </w:r>
          </w:p>
          <w:p w:rsidR="00A959A2" w:rsidRDefault="00A959A2" w:rsidP="00A959A2">
            <w:pPr>
              <w:pStyle w:val="a"/>
              <w:jc w:val="both"/>
              <w:rPr>
                <w:rtl/>
              </w:rPr>
            </w:pPr>
            <w:r>
              <w:rPr>
                <w:rFonts w:hint="cs"/>
                <w:rtl/>
              </w:rPr>
              <w:t xml:space="preserve">סבתה של א.א, שהיא אימה של האם, ובת זוגו של הנאשם בתקופה הרלוונטית, העידה מטעם ההגנה. היא הייתה בזוגיות עם הנאשם במשך 22 שנה, משנת 2001 (עמ' 303-302). במהלך כל התקופה, לא הרגישה שום דבר חריג, לא חשדה ולא ידעה דבר על המעשים עד למעצרו של הנאשם. הנאשם היה סב חורג טוב לנכדיה (עמ' 306-305). במהלך השנים הוא עבר אירוע מוחי וכן אירוע לבבי (עמ' 304), לאחריהם הוא לא עבד תקופה של כחודש ימים, ואח"כ חזר לעבוד בחצי משרה בניקיון משרדים (עמ' 307). מעולם לא ראתה עם הנאשם או בטלפון שלו סרטים פורנוגרפיים, ומעולם לא נגעה בטלפון שלו (עמ' 308-307). כשא.א הייתה קטנה היא הייתה ישנה איתם במיטה, כשמשפחתה הייתה מגיעה אליהם. א.א הייתה ישנה בקצה המיטה, אבל כדי שלא תיפול, הסבתא הייתה מעבירה אותה לאמצע (עמ' 309). הסבתא נשאלה האם היו מקרים שהנאשם וא.א ישנו לבד בחדר, ורק אחר כך הסבתא הייתה מגיעה – והשיבה שזה היה משתנה, לפעמים הנאשם והיא היו נכנסים לישון, איזה זוכרת מי נרדם קודם, או שלפעמים היא הייתה מרדימה אותה, והיו פעמים שהנאשם וא.א היו ביחד במיטה צוחקים רואים כל מיני סרטונים בטלפון (עמ' 308, ש' 30-32). היו גם מקרים שהיו יושבים בחצר, במרפסת או בסלון, והיא הייתה מרדימה את א.א וחוזרת לנאשם שהיה בגינה או במרפסת (עמ' 310). היו מקרים שהנאשם וא.א היו בחדר השינה, והיא בבית, במטבח או עסוקה (עמ' 310). היו מקרים שהנאשם ו-א.א היו נכנסים ביחד למיטה, רואים טלוויזיה וצוחקים והיא הייתה נרדמת או שהוא היה נרדם, והסבתא הייתה מגיעה אחר כך, ולעתים הסבתא הייתה מרדימה אותה, זה היה משתנה (עמ' 310, ש' 19-21). בחלק מהדירות שבהן גרו, א.א הייתה ישנה איתם במיטה (עמ' 314). היו מקרים שא.א הייתה ישנה באמצע המיטה שלהם (עמ' 323). הדלתות בבית היו פתוחות. לפעמים א.א הייתה נרדמת קודם, לפעמים הנאשם, וגם היה מתעורר וחוזר לישון (עמ' 315). הנאשם מעולם לא ישן עם חגורה (עמ' 316). </w:t>
            </w:r>
          </w:p>
          <w:p w:rsidR="00A959A2" w:rsidRDefault="00A959A2" w:rsidP="00A959A2">
            <w:pPr>
              <w:pStyle w:val="a"/>
              <w:numPr>
                <w:ilvl w:val="0"/>
                <w:numId w:val="0"/>
              </w:numPr>
              <w:tabs>
                <w:tab w:val="left" w:pos="720"/>
              </w:tabs>
              <w:ind w:left="720"/>
              <w:jc w:val="both"/>
              <w:rPr>
                <w:rtl/>
              </w:rPr>
            </w:pPr>
            <w:r>
              <w:rPr>
                <w:rFonts w:hint="cs"/>
                <w:rtl/>
              </w:rPr>
              <w:t>הסבתא העידה שהיא ישנה חזק מאוד. הסבתא העידה שלא מזמן היא טיפלה באימא שלה, ואימא שלה נפלה, האחיות שלה הזמינו אמבולנס, הסבתא לא שמעה שום דבר על אף שהיה רעש סביבה, מפני שהיא ישנה חזק. האחיות שלה סיפרו לה שהיה רעש, הגיע מד"א, והיו צעקות אך היא לא שמעה כלום, והתעוררה רק בבוקר (עמ' 323-322). גם כשהנכדים היו קטנים, היא הייתה נרדמת על הספה, ולא שמעה כששלושה-ארבעה ילדים קטנים התרוצצו לידה ועשו רעש (עמ' 322).</w:t>
            </w:r>
          </w:p>
          <w:p w:rsidR="00A959A2" w:rsidRDefault="00A959A2" w:rsidP="00A959A2">
            <w:pPr>
              <w:pStyle w:val="a"/>
              <w:numPr>
                <w:ilvl w:val="0"/>
                <w:numId w:val="0"/>
              </w:numPr>
              <w:tabs>
                <w:tab w:val="left" w:pos="720"/>
              </w:tabs>
              <w:ind w:left="720"/>
              <w:jc w:val="both"/>
            </w:pPr>
            <w:r>
              <w:rPr>
                <w:rFonts w:hint="cs"/>
                <w:rtl/>
              </w:rPr>
              <w:t xml:space="preserve">כשא.א הייתה באה, היא הייתה מקלחת אותה. לעתים הייתה עוזבת את א.א במקלחת ומבקשת מהנאשם לשים עין, אך לא ראתה את הנאשם פותח את הדלת או עושה משהו אחר במצב הזה (עמ' 317). </w:t>
            </w:r>
          </w:p>
          <w:p w:rsidR="00A959A2" w:rsidRDefault="00A959A2" w:rsidP="00A959A2">
            <w:pPr>
              <w:pStyle w:val="a"/>
              <w:numPr>
                <w:ilvl w:val="0"/>
                <w:numId w:val="0"/>
              </w:numPr>
              <w:tabs>
                <w:tab w:val="left" w:pos="720"/>
              </w:tabs>
              <w:ind w:left="720"/>
              <w:jc w:val="both"/>
              <w:rPr>
                <w:rtl/>
              </w:rPr>
            </w:pPr>
            <w:r>
              <w:rPr>
                <w:rFonts w:hint="cs"/>
                <w:rtl/>
              </w:rPr>
              <w:t xml:space="preserve">בנוגע ליחסיה עם הנאשם, כמו לזוגות רבים, לאורך השנים היו עליות וירידות (עמ' 319). היה מקרה אחד שבו התארחה בביתה של בתו של הנאשם לסופשבוע, והיא עזבה באמצע השבת, משום שכעסה עליו (עמ' 319). באופן כללי לא היה שום סכסוך עם הנאשם (עמ' 322). </w:t>
            </w:r>
          </w:p>
          <w:p w:rsidR="00A959A2" w:rsidRDefault="00A959A2" w:rsidP="00A959A2">
            <w:pPr>
              <w:pStyle w:val="a"/>
              <w:numPr>
                <w:ilvl w:val="0"/>
                <w:numId w:val="0"/>
              </w:numPr>
              <w:tabs>
                <w:tab w:val="left" w:pos="720"/>
              </w:tabs>
              <w:ind w:left="720"/>
              <w:jc w:val="both"/>
            </w:pPr>
            <w:r>
              <w:rPr>
                <w:rFonts w:hint="cs"/>
                <w:rtl/>
              </w:rPr>
              <w:t>היא התקשתה לעכל את העובדה שהנאשם שהיה בן זוגה נעצר בגלל מעשים שביצע כלפי הנכדות שלה (עמ' 312). אין לה דברים רעים לומר על הנאשם, מפני שהוא אדם טוב (עמ' 312).</w:t>
            </w:r>
          </w:p>
          <w:p w:rsidR="00A959A2" w:rsidRDefault="00A959A2" w:rsidP="00A959A2">
            <w:pPr>
              <w:pStyle w:val="a"/>
              <w:jc w:val="both"/>
              <w:rPr>
                <w:rtl/>
              </w:rPr>
            </w:pPr>
            <w:r>
              <w:rPr>
                <w:rFonts w:hint="cs"/>
                <w:rtl/>
              </w:rPr>
              <w:t xml:space="preserve">עדות הסבתא עשתה רושם מהימן. ניכר שאין לה שום סכסוך עם הנאשם, אשר היה בן זוגה כ-22 שנה, והיא לא ניסתה להשחיר את פניו. היא תיארה את הדברים כפי שזכרה אותם, ולא הוסיפה עליהם דבר אשר עלול לפגוע </w:t>
            </w:r>
            <w:r>
              <w:rPr>
                <w:rFonts w:hint="cs"/>
                <w:rtl/>
              </w:rPr>
              <w:lastRenderedPageBreak/>
              <w:t xml:space="preserve">בנאשם. בסופו של דבר, עדותה של הסבתא, על אף שבזמן אמת לא ראתה את הדברים ולא חשדה בהם – חיזקה דווקא את ראיות המאשימה. בפרט הדברים אמורים בנוגע למחלוקת בשאלה אם היא שנתה הייתה עמוקה וחזקה כפי שעלה מעדותן של א.א ואימה, או שינה קלה כטענת הנאשם. כזכור, טענה מרכזית של הנאשם הייתה ששנתה של הסבתא קלה עד מאוד, וכל זבוב יכול להעיר אותה. הסבתא סתרה חזיתית את גרסתו, העידה ששנתה הייתה עמוקה וחזקה, ואף תיארה מקרה שבו הוזמן אמבולנס שהגיע לבית, והיא נותרה ישנה עד הבוקר, ולא הבחינה בדבר. גם בנוגע לטענת הנאשם בדבר סכסוך שהיה בינו לבין הסבתא אשר כביכול עמד ברקע לתלונתה של א.א, גרסתה של הסבתא מחזקת את ראיות המאשימה על כך שאין המדובר בסכסוך משמעותי אשר יהיה בו כדי להסביר את התלונה מצידה של א.א, אלא מדובר במחלוקות נקודתיות, שאינן חורגות מכאלה אשר קיימות בין זוגות רבים. מכאן, שיש בעדות זו כדי לחזק את ראיות המאשימה, ולדחות את גרסת הנאשם. </w:t>
            </w:r>
          </w:p>
          <w:p w:rsidR="00A959A2" w:rsidRDefault="00A959A2" w:rsidP="00A959A2">
            <w:pPr>
              <w:pStyle w:val="a"/>
              <w:numPr>
                <w:ilvl w:val="0"/>
                <w:numId w:val="0"/>
              </w:numPr>
              <w:tabs>
                <w:tab w:val="left" w:pos="720"/>
              </w:tabs>
              <w:ind w:left="720" w:hanging="720"/>
              <w:rPr>
                <w:b/>
                <w:bCs/>
                <w:u w:val="single"/>
              </w:rPr>
            </w:pPr>
            <w:r>
              <w:rPr>
                <w:rFonts w:hint="cs"/>
                <w:b/>
                <w:bCs/>
                <w:u w:val="single"/>
                <w:rtl/>
              </w:rPr>
              <w:t>סיכום ביניים – אישומים 8-1 בעניין א.א:</w:t>
            </w:r>
          </w:p>
          <w:p w:rsidR="00A959A2" w:rsidRDefault="00A959A2" w:rsidP="00A959A2">
            <w:pPr>
              <w:pStyle w:val="a"/>
              <w:jc w:val="both"/>
              <w:rPr>
                <w:rtl/>
              </w:rPr>
            </w:pPr>
            <w:r>
              <w:rPr>
                <w:rFonts w:hint="cs"/>
                <w:rtl/>
              </w:rPr>
              <w:t xml:space="preserve">עדותה של א.א עשתה רושם מהימן, ויש לתת אמון מלא בעדותה. כאמור לעיל, בחינה פנימית של העדות מצביעה על אמינותה. ניכרו מתוך עדותה של א.א חוסר רצונה להשחיר את פניו של הנאשם, הקפדתה על דיוק בפרטים, עקביות גרסתה ועוד. גם בחינה חיצונית של העדות, אל מול יתר העדויות והראיות מצביעה על מהימנותה. כך למשל, </w:t>
            </w:r>
            <w:r>
              <w:rPr>
                <w:rFonts w:hint="cs"/>
                <w:rtl/>
                <w:lang w:eastAsia="he-IL"/>
              </w:rPr>
              <w:t>תיאורי המקום, כגון מחסן הכביסה בחצר, שאכן היה כזה, אינם שנויים במחלוקת (עמ' 220). כך גם העובדה שישנה באמצע המיטה של הסבתא והנאשם ביניהם, מפני שהסבתא חששה שהיא תיפול מהמיטה (עמ' 61), אינה שנויה במחלוקת, אושרה על ידי הנאשם (עמ' 227, 251), וכן אומתה בעדות אימה (עמ' 15-16) ובעדות הסבתא. כך גם העובדה שהיה מקרה שבו הנאשם הגיע לבית משפחתה ושמר עליה ועל אחיה, בעת שהוריה לא היו בבית, אומתה על ידי אימה (עמ' 36) ועל ידי הנאשם (ת/20א', עמ' 4). הנאשם אישר בעדותו כי א.א ומשפחתה היו מגיעים אליהם לשבתות וישנים שם, מפני שאימא הייתה שומרת שבת (עמ' 231). באופן דומה, א.א העידה ש</w:t>
            </w:r>
            <w:r>
              <w:rPr>
                <w:rFonts w:hint="cs"/>
                <w:rtl/>
              </w:rPr>
              <w:t xml:space="preserve">כיוון שסבתה הייתה נוחרת, נהגו להעירה כדי שתפסיק לנחור (עמ' 59), ואף הנאשם עצמו אישר זאת בעדותו (עמ' 251). האימא והסבתא אימתו את גרסתה של א.א אשר לפיה שנתה של הסבתה הייתה עמוקה. העדויות של אימה של א.א, של חברותיה בפני חוקרת הילדים, וכך גם עדות הסבתא, תומכות בגרסתה של א.א, ומחזקות אותה בשורה של נושאים, כגון: אופן חשיפת המעשים, מצבה הנפשי של א.א בעת החשיפה, ועוד. </w:t>
            </w:r>
            <w:r>
              <w:rPr>
                <w:rFonts w:hint="cs"/>
                <w:rtl/>
                <w:lang w:eastAsia="he-IL"/>
              </w:rPr>
              <w:t xml:space="preserve">כלומר, בחינה חיצונית של עדותה של א.א, ביחס ליתר הראיות והעדויות, מחזקת את מהימנותה. </w:t>
            </w:r>
          </w:p>
          <w:p w:rsidR="00A959A2" w:rsidRDefault="00A959A2" w:rsidP="00A959A2">
            <w:pPr>
              <w:pStyle w:val="a"/>
              <w:jc w:val="both"/>
              <w:rPr>
                <w:rtl/>
              </w:rPr>
            </w:pPr>
            <w:r>
              <w:rPr>
                <w:rFonts w:hint="cs"/>
                <w:rtl/>
              </w:rPr>
              <w:t xml:space="preserve">לטענת ההגנה, א.א תיארה מקרה שבו כביכול צילם הנאשם את ישבנה באירוע משפחתי, בחיפוש שערכה המשטרה בטלפון של הנאשם לא נמצאו לכך תימוכין (עמ' 207), ולכן יש בכך כדי לפגום במהימנותה של א.א. </w:t>
            </w:r>
          </w:p>
          <w:p w:rsidR="00A959A2" w:rsidRDefault="00A959A2" w:rsidP="00A959A2">
            <w:pPr>
              <w:pStyle w:val="a"/>
              <w:numPr>
                <w:ilvl w:val="0"/>
                <w:numId w:val="0"/>
              </w:numPr>
              <w:tabs>
                <w:tab w:val="left" w:pos="720"/>
              </w:tabs>
              <w:ind w:left="720"/>
              <w:jc w:val="both"/>
            </w:pPr>
            <w:r>
              <w:rPr>
                <w:rFonts w:hint="cs"/>
                <w:rtl/>
              </w:rPr>
              <w:t xml:space="preserve">בנוגע לטענה זו יש להבהיר כי א.א מסרה בחקירתה כי ביום הולדתו של אביה, צילמה את עצמה רוקדת בסרטון בטיקטוק, הנאשם הגיע כדי לצלמה אך אינה יודעת אם צילם את ישבנה כיוון שברגע שהבחינה בכך היא עזבה את המקום ונכנסה הביתה (ת/6 עמ' 42). בחקירתה הנגדית חזרה והבהירה שאינה טוענת שהנאשם צילם את ישבנה (עמ' 80). </w:t>
            </w:r>
          </w:p>
          <w:p w:rsidR="00A959A2" w:rsidRDefault="00A959A2" w:rsidP="00A959A2">
            <w:pPr>
              <w:pStyle w:val="a"/>
              <w:numPr>
                <w:ilvl w:val="0"/>
                <w:numId w:val="0"/>
              </w:numPr>
              <w:tabs>
                <w:tab w:val="left" w:pos="720"/>
              </w:tabs>
              <w:ind w:left="720"/>
              <w:jc w:val="both"/>
            </w:pPr>
            <w:r>
              <w:rPr>
                <w:rFonts w:hint="cs"/>
                <w:rtl/>
              </w:rPr>
              <w:t xml:space="preserve">לאור עדותה של א.א שאינה בטוחה כלל שהנאשם צילם אותה, הרי שאין בכך שלא נמצאו תמונות רלוונטיות בטלפון של הנאשם כדי להעלות או להוריד, כל שכן אין בכך כדי לפגוע במהימנותה. חיזוק לכך קיים בעדות אימה של א.א אשר מסרה שהאירוע הזה לא התרחש אלא מדובר באי הבנה בין א.א לבין דודתה (עמ' 37-39), וגם חוקרת </w:t>
            </w:r>
            <w:r>
              <w:rPr>
                <w:rFonts w:hint="cs"/>
                <w:rtl/>
              </w:rPr>
              <w:lastRenderedPageBreak/>
              <w:t>הילדים הסבירה שא.א לא תיארה זאת כך בחקירת הילדים (עמ' 176). אכן, דודתה של א.א הבינה ממנה שהדבר התרחש (עמ' 192-193) – ואולם דווקא הבהרתה של א.א שהדבר לא התרחש, מחזקת את מהימנותה.</w:t>
            </w:r>
          </w:p>
          <w:p w:rsidR="00A959A2" w:rsidRDefault="00A959A2" w:rsidP="00A959A2">
            <w:pPr>
              <w:pStyle w:val="a"/>
              <w:jc w:val="both"/>
              <w:rPr>
                <w:lang w:eastAsia="he-IL"/>
              </w:rPr>
            </w:pPr>
            <w:r>
              <w:rPr>
                <w:rFonts w:hint="cs"/>
                <w:rtl/>
                <w:lang w:eastAsia="he-IL"/>
              </w:rPr>
              <w:t xml:space="preserve">מנגד, יש לדחות את עדות הנאשם, אשר נסתרה, בין היתר, בעדות הסבתא, אשר העידה ששנתה הייתה עמוקה וחזקה, ולא קלה כטענת הנאשם. יש לדחות את עדותו, הגם שבחיפוש במכשיר הטלפון הנייד שלו, לא נמצאה ראיה לקיומם של סרטים פורנוגרפיים או לחיפושים </w:t>
            </w:r>
            <w:r>
              <w:rPr>
                <w:rFonts w:hint="cs"/>
                <w:rtl/>
              </w:rPr>
              <w:t>כאלה</w:t>
            </w:r>
            <w:r>
              <w:rPr>
                <w:rFonts w:hint="cs"/>
                <w:rtl/>
                <w:lang w:eastAsia="he-IL"/>
              </w:rPr>
              <w:t xml:space="preserve"> באינטרנט (נ/2; עמ' 206-207). כמו כן, אכן, בבדיקה הקלינית של א.א בבית לין לא נמצאו ממצאים, אך הרופאה ציינה שהעדר ממצאים הוא דבר נפוץ, ואין זה סותר את הגרסה שמסרה (ת/24). בהקשר זה יצוין כי ממילא לפי עדותה של א.א, לא הייתה חדירה. יש גם לשלול את טענת ההגנה שלפיה יתכן שסכסוך שהיה בין הסבתא לבין הנאשם הוביל את א.א להתלונן נגד הנאשם. מדובר בהשערה שאין לה שום אחיזה בראיות (עמ' 206-205). הדברים לא עולים מעדותה של א.א, וכן נסתרו בעדותה אימה, אשר הכחישה קיומו של סכסוך משמעותי, וכן בעדות הסבתא. אותו מקרה בודד שבו בראש השנה, עזבה הסבתא אירוע משפחתי שבו הייתה עם הנאשם, אינו אירוע משמעותי שיכול לעמוד ברקע לתלונה, ספק בכלל אם א.א ידעה על כך, ואף יתכן שאירע לאחר שא.א חשפה לראשונה את דבר הפגיעה לפני חברותיה. גם השערות נוספות שהעלתה ההגנה בנוגע למניעים כביכול של א.א למסור תלונת שווא, אין להן אחיזה בראיות. </w:t>
            </w:r>
          </w:p>
          <w:p w:rsidR="00A959A2" w:rsidRDefault="00A959A2" w:rsidP="00A959A2">
            <w:pPr>
              <w:pStyle w:val="a"/>
              <w:numPr>
                <w:ilvl w:val="0"/>
                <w:numId w:val="0"/>
              </w:numPr>
              <w:tabs>
                <w:tab w:val="left" w:pos="720"/>
              </w:tabs>
              <w:ind w:left="720"/>
              <w:jc w:val="both"/>
              <w:rPr>
                <w:lang w:eastAsia="he-IL"/>
              </w:rPr>
            </w:pPr>
            <w:r>
              <w:rPr>
                <w:rFonts w:hint="cs"/>
                <w:rtl/>
                <w:lang w:eastAsia="he-IL"/>
              </w:rPr>
              <w:t>גם טענות הנאשם בדבר מצבו הבריאותי והעדר יכולת פיזית לכאורה לבצע את המעשים, לא נתמכו בראיות מתאימות אשר יוכלו לבסס אותן.</w:t>
            </w:r>
          </w:p>
          <w:p w:rsidR="00A959A2" w:rsidRDefault="00A959A2" w:rsidP="00A959A2">
            <w:pPr>
              <w:pStyle w:val="a"/>
              <w:jc w:val="both"/>
              <w:rPr>
                <w:rtl/>
              </w:rPr>
            </w:pPr>
            <w:r>
              <w:rPr>
                <w:rFonts w:hint="cs"/>
                <w:rtl/>
                <w:lang w:eastAsia="he-IL"/>
              </w:rPr>
              <w:t xml:space="preserve">לכן, בסופו של דבר, יש לתת אמון בעדותה של א.א, ולדחות את עדותו של הנאשם. </w:t>
            </w:r>
          </w:p>
          <w:p w:rsidR="00A959A2" w:rsidRDefault="00A959A2" w:rsidP="00A959A2">
            <w:pPr>
              <w:pStyle w:val="a"/>
              <w:numPr>
                <w:ilvl w:val="0"/>
                <w:numId w:val="0"/>
              </w:numPr>
              <w:tabs>
                <w:tab w:val="left" w:pos="720"/>
              </w:tabs>
              <w:ind w:left="720" w:hanging="778"/>
              <w:jc w:val="both"/>
              <w:rPr>
                <w:b/>
                <w:bCs/>
                <w:u w:val="single"/>
                <w:rtl/>
              </w:rPr>
            </w:pPr>
            <w:r>
              <w:rPr>
                <w:rFonts w:hint="cs"/>
                <w:b/>
                <w:bCs/>
                <w:u w:val="single"/>
                <w:rtl/>
              </w:rPr>
              <w:t>אישום 9 – עבירת מעשה מגונה בקטינה כלפי ח.ח</w:t>
            </w:r>
          </w:p>
          <w:p w:rsidR="00A959A2" w:rsidRDefault="00A959A2" w:rsidP="00A959A2">
            <w:pPr>
              <w:pStyle w:val="a"/>
              <w:jc w:val="both"/>
            </w:pPr>
            <w:r>
              <w:rPr>
                <w:rFonts w:hint="cs"/>
                <w:rtl/>
              </w:rPr>
              <w:t xml:space="preserve">בכל הנוגע לאישום 9, אקדים ואומר שיש לזכות את הנאשם מאישום זה. ח.ח לא העידה בבית המשפט, הואיל וחוקרת הילדים אסרה את העדתה. חוקרת הילדים התקשתה להעריך את מהימנות דבריה של ח.ח, ובהעדר ראיות כבדות משקל אחרות שיהיה בהן כדי לבסס את ביצוע העבירה, הרי שלא עלה בידי המאשימה להוכיח את אשמת הנאשם באישום זה מעבר לספק סביר. </w:t>
            </w:r>
          </w:p>
          <w:p w:rsidR="00A959A2" w:rsidRDefault="00A959A2" w:rsidP="00A959A2">
            <w:pPr>
              <w:pStyle w:val="a"/>
              <w:jc w:val="both"/>
              <w:rPr>
                <w:rtl/>
              </w:rPr>
            </w:pPr>
            <w:r>
              <w:rPr>
                <w:rFonts w:hint="cs"/>
                <w:rtl/>
              </w:rPr>
              <w:t>ב"כ המאשימה, עו"ד פאר, טענה כי על אף שחוקרת הילדים התקשתה להעריך מהימנות, מדובר ב"מעשים דומים" לאלה אשר בוצעו בא.א, ואף "שיטת ביצוע", באופן אשר מצדיק את הרשעת הנאשם. חוקרת הילדים הסבירה אמנם שהקושי שלה להעריך את מהימנותה של ח.ח, הוא בגלל שהמלל של ח.ח הוא גנרי ולא מספיק, אך אישום זה אינו עומד בפני עצמו ויש בעדותה של א.א כדי לתמוך בעדותה (עמ' 277-276).</w:t>
            </w:r>
          </w:p>
          <w:p w:rsidR="00A959A2" w:rsidRDefault="00A959A2" w:rsidP="00A959A2">
            <w:pPr>
              <w:pStyle w:val="a"/>
              <w:numPr>
                <w:ilvl w:val="0"/>
                <w:numId w:val="0"/>
              </w:numPr>
              <w:tabs>
                <w:tab w:val="left" w:pos="720"/>
              </w:tabs>
              <w:ind w:left="720"/>
              <w:jc w:val="both"/>
            </w:pPr>
            <w:r>
              <w:rPr>
                <w:rFonts w:hint="cs"/>
                <w:rtl/>
              </w:rPr>
              <w:t>כפי שיובהר להלן, לא ניתן לקבל טענה זו.</w:t>
            </w:r>
          </w:p>
          <w:p w:rsidR="00A959A2" w:rsidRDefault="00A959A2" w:rsidP="00A959A2">
            <w:pPr>
              <w:pStyle w:val="a"/>
              <w:jc w:val="both"/>
            </w:pPr>
            <w:r>
              <w:rPr>
                <w:rFonts w:hint="cs"/>
                <w:b/>
                <w:bCs/>
                <w:rtl/>
              </w:rPr>
              <w:t xml:space="preserve">חקירת הילדים של ח.ח </w:t>
            </w:r>
            <w:r>
              <w:rPr>
                <w:rFonts w:hint="cs"/>
                <w:rtl/>
              </w:rPr>
              <w:t>(ת/21א'),</w:t>
            </w:r>
            <w:r>
              <w:rPr>
                <w:rFonts w:hint="cs"/>
                <w:b/>
                <w:bCs/>
                <w:rtl/>
              </w:rPr>
              <w:t xml:space="preserve"> סיכום חקירת הילדים </w:t>
            </w:r>
            <w:r>
              <w:rPr>
                <w:rFonts w:hint="cs"/>
                <w:rtl/>
              </w:rPr>
              <w:t xml:space="preserve">(ת/21) </w:t>
            </w:r>
            <w:r>
              <w:rPr>
                <w:rFonts w:hint="cs"/>
                <w:b/>
                <w:bCs/>
                <w:rtl/>
              </w:rPr>
              <w:t xml:space="preserve">ועדות חוקרת הילדים </w:t>
            </w:r>
            <w:r>
              <w:rPr>
                <w:rFonts w:hint="cs"/>
                <w:rtl/>
              </w:rPr>
              <w:t xml:space="preserve">(עמ' 113 ואילך לפרו') – חוקרת הילדים, עו"ס הגר צידון, ציינה בטופס חקירת הילדים, וכן בעדותה בבית המשפט כי ח.ח הייתה בת 7 וחצי בעת החקירה, יכולותיה תואמות את גילה. ח.ח השיבה לשאלות אך התקשתה להרחיב על דבריה, והרבתה להשיב שהיא "לא זוכרת", העלתה מלל גנרי וכללי, ולא ציינה אירועים נפרדים וייחודיים. ח.ח העלתה האשמה, ומסרה שהנאשם אמר לה לעשות לו עיסוי (מסז') בבטן, הייתה שוכבת עליו, והיה מנדנד אותה. זה קרה יותר מפעם אחרת כשהייתה בת שלוש או ארבע. ח.ח אמרה מספר פעמים שהעיסוי שהתבקשה לעשות, לא היה לה נעים. אינה זוכרת את הפעם האחרונה או את הפעם הראשונה, ואינה זוכרת במיוחד את אחת הפעמים. אמרה </w:t>
            </w:r>
            <w:r>
              <w:rPr>
                <w:rFonts w:hint="cs"/>
                <w:rtl/>
              </w:rPr>
              <w:lastRenderedPageBreak/>
              <w:t xml:space="preserve">ששכבה לו על הבטן, והוא היה מנדנד אותה כמו נדנדה, והדגימה את התנועה. לדבריה, זה לא היה נעים לה, זה קרה במיטה בחדר שלו ושל הסבתא. בזמן שהיה עושה את זה, הנאשם היה עוצם עיניים ואומר שזה נעים לו. שניהם היו לבושים בבגדים (עמ' 114 לפרו'). בזמן העיסוי היה מחזיק אותה מהמותניים. לא רצתה לעשות לו, חשבה שהיא תגדל, אז זה לא יהיה צנוע, כי זה היה בטן לבטן. </w:t>
            </w:r>
          </w:p>
          <w:p w:rsidR="00A959A2" w:rsidRDefault="00A959A2" w:rsidP="00A959A2">
            <w:pPr>
              <w:pStyle w:val="a"/>
              <w:numPr>
                <w:ilvl w:val="0"/>
                <w:numId w:val="0"/>
              </w:numPr>
              <w:tabs>
                <w:tab w:val="left" w:pos="720"/>
              </w:tabs>
              <w:ind w:left="720"/>
              <w:jc w:val="both"/>
            </w:pPr>
            <w:r>
              <w:rPr>
                <w:rFonts w:hint="cs"/>
                <w:rtl/>
              </w:rPr>
              <w:t>הערכת חוקרת הילדים היא שח.ח תיארה את הדברים במלל גנרי והתקשתה לתאר אירועים מובחנים. היא התייחסה למקום בו הדברים קרו (בבית של הנאשם), שילבה הדגמה, וכן התייחסה לרגשותיה ומחשבותיה. עם זאת, היא התקשתה להרחיב ולעבות את דבריה בפרטים משמעותיים נוספים, כך שהם נותרו שלדיים וכלליים בלבד. לאור זאת, התקשתה חוקרת הילדים להעריך את מהימנות דבריה של ח.ח (עמ' 115 לפרו'). חוקרת הילדים שאלה את ח.ח שאלות מכוונות, אך ח.ח התקשתה למסור פרטים ולעבות את הדברים שמסרה (עמ' 117). חוקרת הילדים הבהירה כי אין לראות בהערכת המהימנות כקובעת שהדברים שאותם מסרה ח.ח לא התרחשו, אלא שהאופן בו מסרה של דבריה, אשר יתכן שנובע מפרק הזמן שחלף מאז שהם התרחשו ועד מועד חקירת הילדים, הוא שמקשה על הערכת מהימנות דבריה, בפרט כשמדובר על ילדה בת שבע וחצי (עמ' 121 לפרו').  היו דברים שחיזקו את העדות שכללו הדגמות של הנענוע ושל התנוחה; התייחסות לרגשותיה במהלך האירוע "לא היה לי כל כך נעים"; התייחסות למחשבותיה ("זה היה ממש בטן לבטן, וזה לא היה כל כך צנוע, אז החלטתי כבר לא לעשות לו"); העדר מגמת הפללה  או השחרה. אך היו דברים חסרים, אשר הקשו להעריך מהימנות ובכללם המלל הדל והעדות השלדית; לא ידעה לתאר אירועים מובחנים; לא תיארה אירוע שהיה לו התחלה, אמצע וסוף; העדר נסיבות של המקרה; ריבוי תשובות בנוסח "לא זוכרת" (עמ' 121-127).</w:t>
            </w:r>
          </w:p>
          <w:p w:rsidR="00A959A2" w:rsidRDefault="00A959A2" w:rsidP="00A959A2">
            <w:pPr>
              <w:pStyle w:val="a"/>
              <w:numPr>
                <w:ilvl w:val="0"/>
                <w:numId w:val="0"/>
              </w:numPr>
              <w:tabs>
                <w:tab w:val="left" w:pos="720"/>
              </w:tabs>
              <w:ind w:left="720"/>
              <w:jc w:val="both"/>
            </w:pPr>
            <w:r>
              <w:rPr>
                <w:rFonts w:hint="cs"/>
                <w:rtl/>
              </w:rPr>
              <w:t xml:space="preserve">החוקרת הבהירה שראתה את הודעת אימה של ח.ח, אשר מסרה ששוחחה עם ח.ח אשר חשפה בפניה את הדברים. היא שאלה את ח.ח. האם יש מישהו אחר שיודע על מה שקרה, והשיבה בשלילה (עמ' 133-134). </w:t>
            </w:r>
          </w:p>
          <w:p w:rsidR="00A959A2" w:rsidRDefault="00A959A2" w:rsidP="00A959A2">
            <w:pPr>
              <w:pStyle w:val="a"/>
              <w:numPr>
                <w:ilvl w:val="0"/>
                <w:numId w:val="0"/>
              </w:numPr>
              <w:tabs>
                <w:tab w:val="left" w:pos="720"/>
              </w:tabs>
              <w:ind w:left="720"/>
              <w:jc w:val="both"/>
            </w:pPr>
            <w:r>
              <w:rPr>
                <w:rFonts w:hint="cs"/>
                <w:rtl/>
              </w:rPr>
              <w:t xml:space="preserve">סבורני כי יש לקבל את עמדת חוקרת הילדים, עו"ס צידון, שלפיה קיים קושי להעריך את מהימנות דבריה של ח.ח, וזאת מן הנימוקים שמסרה חוקרת הילדים. חוקרת הילדים פעלה באופן מקצועי וזהיר, ואכן גם בחינת עדותה של ח.ח עצמה בפני חוקרת הילדים, מובילה למסקנה שלא ניתן לקבוע, ברמה המספקת במשפט הפלילי, כי המעשים אכן בוצעו. מנגד, כפי שהבהירה חוקרת הילדים, לא ניתן לקבוע שהמעשים לא התרחשו, אך לאור נטל ההוכחה המוטל על המאשימה, אין די בכך. </w:t>
            </w:r>
          </w:p>
          <w:p w:rsidR="00A959A2" w:rsidRDefault="00A959A2" w:rsidP="00A959A2">
            <w:pPr>
              <w:pStyle w:val="a"/>
              <w:jc w:val="both"/>
              <w:rPr>
                <w:rtl/>
              </w:rPr>
            </w:pPr>
            <w:r>
              <w:rPr>
                <w:rFonts w:hint="cs"/>
                <w:rtl/>
              </w:rPr>
              <w:t>בעדותה של האם ביחס לפגיעות בח.ח (אישום 9) העידה כי בעקבות כל החקירות, עובדת סוציאלית בקשה ממנה לשאול את ב.ב האם מישהו פעם נגע בה או עשה לה משהו. האֵם שאלה אותה וח.ח סיפרה כל מיני דברים שטותיים מהגן. לכן אמרו לה לשאול ישירות על הנאשם – האם נגע בה או עשה לה משהו לא צנוע. היא אכן שאלה אותה וח.ח סיפרה שהיא עשתה לנאשם עיסוי כאשר הוא שכב על גבו והיא ישבה עליו והתנועעה. אמרה שזה קרה כאשר הייתה בת 5. ציינה שזה קרה מספר פעמים. היא הבינה שמדובר במשהו לא צנוע. לא סיפרו לח.ח אודות הפגיעות בא.א עד היום. לאחר שחקרו אותה והיא שאלה מדוע היא נחקרת, סיפרה לה בקצרה אודות א.א שמשהו קרה לה ללא פרוט. ח.ח אינה מודעת למשפט (פרו' עמ' 16).</w:t>
            </w:r>
          </w:p>
          <w:p w:rsidR="00A959A2" w:rsidRDefault="00A959A2" w:rsidP="00A959A2">
            <w:pPr>
              <w:pStyle w:val="a"/>
              <w:jc w:val="both"/>
              <w:rPr>
                <w:rtl/>
              </w:rPr>
            </w:pPr>
            <w:r>
              <w:rPr>
                <w:rFonts w:hint="cs"/>
                <w:rtl/>
              </w:rPr>
              <w:t>כאמור לעיל, סבורני כי לא ניתן לבסס הרשעה באישום זה בעניינה של ח.ח על סמך טענת המאשימה לעדות שיטה או למעשים דומים, בהתבסס על עדותה של א.א.</w:t>
            </w:r>
          </w:p>
          <w:p w:rsidR="00A959A2" w:rsidRDefault="00A959A2" w:rsidP="00A959A2">
            <w:pPr>
              <w:pStyle w:val="a"/>
              <w:numPr>
                <w:ilvl w:val="0"/>
                <w:numId w:val="0"/>
              </w:numPr>
              <w:tabs>
                <w:tab w:val="left" w:pos="720"/>
              </w:tabs>
              <w:ind w:left="720"/>
              <w:jc w:val="both"/>
            </w:pPr>
            <w:r>
              <w:rPr>
                <w:rFonts w:hint="cs"/>
                <w:rtl/>
              </w:rPr>
              <w:lastRenderedPageBreak/>
              <w:t xml:space="preserve">לעדותה של ח.ח לפני חוקרת הילדים נדרש סיוע בהתאם לסעיף 11 לחוק לתיקון דיני הראיות (הגנת ילדים), תשט"ו-1955. דרישת הסיוע נובעת משני טעמים עיקריים, האחד הוא שבית המשפט אינו יכול להתרשם מהעדות באופן ישיר ובלתי אמצעי, והשני הוא שלהגנה אין אפשרות לקיים חקירה נגדית לבחינת העדות ולהגנת הנאשם. הלכה פסוקה היא כי במקרים של עבירות מין בקטינים, עדות אמינה של מתלוננת אחת בדבר מעשים דומים שביצע בה הנאשם, יכולה לשמש כסיוע לעדות קטינה אשר ניתנה בפני חוקר ילדים והטעונה סיוע. ככל שניתן לעדות הטעונה סיוע משקל רב יותר, ניתן להסתפק בראיית סיוע שמשקלה מועט יותר, ולהיפך. הדמיון הדרוש במעשים דומים על מנת שישמשו כראיית סיוע צריך להיות מוחשי וממשי, ואין להסתפק בדמיון כללי גרידא [ראו ע"פ 8579/20 </w:t>
            </w:r>
            <w:r>
              <w:rPr>
                <w:rFonts w:hint="cs"/>
                <w:b/>
                <w:bCs/>
                <w:rtl/>
              </w:rPr>
              <w:t>פלוני נ' מדינת ישראל</w:t>
            </w:r>
            <w:r>
              <w:rPr>
                <w:rFonts w:hint="cs"/>
                <w:rtl/>
              </w:rPr>
              <w:t xml:space="preserve"> (29.3.22) (פסקאות 11-7 לחוות דעת כב' השופט נ' הנדל, וכן דברי כב' השופט ג' קרא)].  נדרש כי יהיו קווים ברורים ומובהקים, אשר יוצרים מכנה משותף בין נסיבותיו הייחודיות של המעשה המיני המתואר בעדות הדרושה סיוע, לבין העדות המסייעת [ראו דברי כב' השופט א' שטיין בע"פ 4447/20 </w:t>
            </w:r>
            <w:r>
              <w:rPr>
                <w:rFonts w:hint="cs"/>
                <w:b/>
                <w:bCs/>
                <w:rtl/>
              </w:rPr>
              <w:t>פלוני נ' מדינת ישראל</w:t>
            </w:r>
            <w:r>
              <w:rPr>
                <w:rFonts w:hint="cs"/>
                <w:rtl/>
              </w:rPr>
              <w:t xml:space="preserve"> (10.1.2022) (פיסקה 10) וכן יניב ואקי, </w:t>
            </w:r>
            <w:r>
              <w:rPr>
                <w:rFonts w:hint="cs"/>
                <w:b/>
                <w:bCs/>
                <w:rtl/>
              </w:rPr>
              <w:t>דיני ראיות</w:t>
            </w:r>
            <w:r>
              <w:rPr>
                <w:rFonts w:hint="cs"/>
                <w:rtl/>
              </w:rPr>
              <w:t>, כרך ג', עמ' 1488 (2021)].</w:t>
            </w:r>
          </w:p>
          <w:p w:rsidR="00A959A2" w:rsidRDefault="00A959A2" w:rsidP="00A959A2">
            <w:pPr>
              <w:pStyle w:val="a"/>
              <w:numPr>
                <w:ilvl w:val="0"/>
                <w:numId w:val="0"/>
              </w:numPr>
              <w:tabs>
                <w:tab w:val="left" w:pos="720"/>
              </w:tabs>
              <w:ind w:left="720"/>
              <w:jc w:val="both"/>
            </w:pPr>
            <w:r>
              <w:rPr>
                <w:rFonts w:hint="cs"/>
                <w:rtl/>
              </w:rPr>
              <w:t xml:space="preserve">במקרה הנוכחי, ראשית, התיאורים שמסרה ח.ח היו גנריים וכלליים, אינם כאלה שניתן לבסס עליהם ממצאים מבוססים, ולא בכדי חוקרת הילדים התקשתה להעריך את מהימנות דבריה. בנסיבות אלה, משהעדות עצמה אינה מהימנה די צרכה לשם קביעת ממצאים, הרי שאין גם בעדותה של א.א כדי להועיל, וזאת בהיעדר ראיות אחרות כבדות משקל. </w:t>
            </w:r>
          </w:p>
          <w:p w:rsidR="00A959A2" w:rsidRDefault="00A959A2" w:rsidP="00A959A2">
            <w:pPr>
              <w:pStyle w:val="a"/>
              <w:numPr>
                <w:ilvl w:val="0"/>
                <w:numId w:val="0"/>
              </w:numPr>
              <w:tabs>
                <w:tab w:val="left" w:pos="720"/>
              </w:tabs>
              <w:ind w:left="720"/>
              <w:jc w:val="both"/>
              <w:rPr>
                <w:rtl/>
              </w:rPr>
            </w:pPr>
            <w:r>
              <w:rPr>
                <w:rFonts w:hint="cs"/>
                <w:rtl/>
              </w:rPr>
              <w:t>שנית, הדמיון בין המעשים שתיארה ח.ח, לבין אלו שתיארה א.א חלש יחסית, וקיים שוני מהותי בין המעשים הנטענים. גם אם העובדה שהנאשם ביצע מעשים מיניים בא.א, מחזקת את עדותה של ח.ח לפני חוקרת הילדים, אין בנסיבות המקרה די בכך כדי להוביל למסקנה שמדובר במעשים דומים באופן אשר ימלא אחר דרישת הסיוע.</w:t>
            </w:r>
          </w:p>
          <w:p w:rsidR="00A959A2" w:rsidRDefault="00A959A2" w:rsidP="00A959A2">
            <w:pPr>
              <w:pStyle w:val="a"/>
              <w:numPr>
                <w:ilvl w:val="0"/>
                <w:numId w:val="0"/>
              </w:numPr>
              <w:tabs>
                <w:tab w:val="left" w:pos="720"/>
              </w:tabs>
              <w:ind w:left="720"/>
              <w:jc w:val="both"/>
              <w:rPr>
                <w:b/>
                <w:bCs/>
                <w:u w:val="single"/>
                <w:rtl/>
              </w:rPr>
            </w:pPr>
            <w:r>
              <w:rPr>
                <w:rFonts w:hint="cs"/>
                <w:rtl/>
              </w:rPr>
              <w:t xml:space="preserve">סיכומם של דברים, בכל הנוגע לאישום 9, אשמת הנאשם לא הוכחה ברמה הנדרשת בפלילים, ויש לזכותו. </w:t>
            </w:r>
          </w:p>
          <w:p w:rsidR="00A959A2" w:rsidRDefault="00A959A2" w:rsidP="00A959A2">
            <w:pPr>
              <w:pStyle w:val="a"/>
              <w:numPr>
                <w:ilvl w:val="0"/>
                <w:numId w:val="0"/>
              </w:numPr>
              <w:tabs>
                <w:tab w:val="left" w:pos="720"/>
              </w:tabs>
              <w:ind w:left="720" w:hanging="720"/>
              <w:jc w:val="both"/>
              <w:rPr>
                <w:b/>
                <w:bCs/>
                <w:u w:val="single"/>
                <w:rtl/>
              </w:rPr>
            </w:pPr>
            <w:r>
              <w:rPr>
                <w:rFonts w:hint="cs"/>
                <w:b/>
                <w:bCs/>
                <w:u w:val="single"/>
                <w:rtl/>
              </w:rPr>
              <w:t>סוף דבר</w:t>
            </w:r>
          </w:p>
          <w:p w:rsidR="00A959A2" w:rsidRDefault="00A959A2" w:rsidP="00A959A2">
            <w:pPr>
              <w:pStyle w:val="a"/>
              <w:jc w:val="both"/>
              <w:rPr>
                <w:rtl/>
              </w:rPr>
            </w:pPr>
            <w:r>
              <w:rPr>
                <w:rFonts w:hint="cs"/>
                <w:rtl/>
              </w:rPr>
              <w:t xml:space="preserve">אשר על כן, אציע לחבריי להרשיע את הנאשם בעבירות המיוחסות לו באישומים 8-1, ולזכותו מהעבירה באישום 9. </w:t>
            </w:r>
          </w:p>
          <w:p w:rsidR="00A959A2" w:rsidRDefault="00A959A2" w:rsidP="00A959A2">
            <w:pPr>
              <w:pStyle w:val="a"/>
              <w:numPr>
                <w:ilvl w:val="0"/>
                <w:numId w:val="0"/>
              </w:numPr>
              <w:tabs>
                <w:tab w:val="left" w:pos="720"/>
              </w:tabs>
              <w:jc w:val="both"/>
              <w:rPr>
                <w:rtl/>
              </w:rPr>
            </w:pPr>
          </w:p>
          <w:p w:rsidR="00A959A2" w:rsidRDefault="00A959A2" w:rsidP="00A959A2">
            <w:pPr>
              <w:pStyle w:val="a"/>
              <w:numPr>
                <w:ilvl w:val="0"/>
                <w:numId w:val="0"/>
              </w:numPr>
              <w:tabs>
                <w:tab w:val="left" w:pos="720"/>
              </w:tabs>
              <w:jc w:val="both"/>
            </w:pPr>
          </w:p>
          <w:p w:rsidR="00A959A2" w:rsidRDefault="00A959A2" w:rsidP="00A959A2">
            <w:pPr>
              <w:pStyle w:val="a"/>
              <w:numPr>
                <w:ilvl w:val="0"/>
                <w:numId w:val="0"/>
              </w:numPr>
              <w:tabs>
                <w:tab w:val="left" w:pos="720"/>
              </w:tabs>
              <w:jc w:val="both"/>
              <w:rPr>
                <w:b/>
                <w:bCs/>
                <w:u w:val="single"/>
                <w:rtl/>
              </w:rPr>
            </w:pPr>
            <w:r>
              <w:rPr>
                <w:rFonts w:hint="cs"/>
                <w:b/>
                <w:bCs/>
                <w:u w:val="single"/>
                <w:rtl/>
              </w:rPr>
              <w:t>השופט מיכאל קרשן</w:t>
            </w:r>
          </w:p>
          <w:p w:rsidR="00A959A2" w:rsidRDefault="00A959A2" w:rsidP="00A959A2">
            <w:pPr>
              <w:pStyle w:val="a"/>
              <w:numPr>
                <w:ilvl w:val="0"/>
                <w:numId w:val="0"/>
              </w:numPr>
              <w:tabs>
                <w:tab w:val="left" w:pos="720"/>
              </w:tabs>
              <w:jc w:val="both"/>
              <w:rPr>
                <w:rtl/>
              </w:rPr>
            </w:pPr>
            <w:r>
              <w:rPr>
                <w:rFonts w:hint="cs"/>
                <w:rtl/>
              </w:rPr>
              <w:t>אני מסכים לחוות דעתו של חברי, סגן הנשיאה ע' קובו.</w:t>
            </w:r>
          </w:p>
          <w:p w:rsidR="00A959A2" w:rsidRDefault="00A959A2" w:rsidP="00A959A2">
            <w:pPr>
              <w:pStyle w:val="a"/>
              <w:numPr>
                <w:ilvl w:val="0"/>
                <w:numId w:val="0"/>
              </w:numPr>
              <w:tabs>
                <w:tab w:val="left" w:pos="720"/>
              </w:tabs>
              <w:jc w:val="both"/>
              <w:rPr>
                <w:rtl/>
              </w:rPr>
            </w:pPr>
          </w:p>
          <w:p w:rsidR="00A959A2" w:rsidRDefault="00A959A2" w:rsidP="00A959A2">
            <w:pPr>
              <w:pStyle w:val="a"/>
              <w:numPr>
                <w:ilvl w:val="0"/>
                <w:numId w:val="0"/>
              </w:numPr>
              <w:tabs>
                <w:tab w:val="left" w:pos="720"/>
              </w:tabs>
              <w:jc w:val="both"/>
              <w:rPr>
                <w:b/>
                <w:bCs/>
                <w:u w:val="single"/>
                <w:rtl/>
              </w:rPr>
            </w:pPr>
            <w:r>
              <w:rPr>
                <w:rFonts w:hint="cs"/>
                <w:b/>
                <w:bCs/>
                <w:u w:val="single"/>
                <w:rtl/>
              </w:rPr>
              <w:t>השופטת מרב גרינברג</w:t>
            </w:r>
          </w:p>
          <w:p w:rsidR="00A959A2" w:rsidRDefault="00A959A2" w:rsidP="00A959A2">
            <w:pPr>
              <w:pStyle w:val="a"/>
              <w:numPr>
                <w:ilvl w:val="0"/>
                <w:numId w:val="0"/>
              </w:numPr>
              <w:tabs>
                <w:tab w:val="left" w:pos="720"/>
              </w:tabs>
              <w:ind w:left="720" w:hanging="720"/>
              <w:jc w:val="both"/>
              <w:rPr>
                <w:rtl/>
              </w:rPr>
            </w:pPr>
            <w:r>
              <w:rPr>
                <w:rFonts w:hint="cs"/>
                <w:rtl/>
              </w:rPr>
              <w:t>אני מסכימה.</w:t>
            </w:r>
          </w:p>
          <w:p w:rsidR="00A959A2" w:rsidRDefault="00A959A2" w:rsidP="00A959A2">
            <w:pPr>
              <w:pStyle w:val="a"/>
              <w:numPr>
                <w:ilvl w:val="0"/>
                <w:numId w:val="0"/>
              </w:numPr>
              <w:tabs>
                <w:tab w:val="left" w:pos="720"/>
              </w:tabs>
              <w:ind w:left="720" w:hanging="720"/>
              <w:jc w:val="both"/>
            </w:pPr>
          </w:p>
          <w:p w:rsidR="00A959A2" w:rsidRDefault="00A959A2" w:rsidP="00A959A2">
            <w:pPr>
              <w:pStyle w:val="a"/>
              <w:numPr>
                <w:ilvl w:val="0"/>
                <w:numId w:val="0"/>
              </w:numPr>
              <w:tabs>
                <w:tab w:val="left" w:pos="720"/>
              </w:tabs>
              <w:ind w:left="720" w:hanging="720"/>
              <w:jc w:val="both"/>
              <w:rPr>
                <w:rtl/>
              </w:rPr>
            </w:pPr>
          </w:p>
          <w:p w:rsidR="00A959A2" w:rsidRDefault="00A959A2" w:rsidP="00A959A2">
            <w:pPr>
              <w:pStyle w:val="a"/>
              <w:numPr>
                <w:ilvl w:val="0"/>
                <w:numId w:val="0"/>
              </w:numPr>
              <w:tabs>
                <w:tab w:val="left" w:pos="720"/>
              </w:tabs>
              <w:ind w:left="720" w:hanging="720"/>
              <w:jc w:val="both"/>
              <w:rPr>
                <w:rtl/>
              </w:rPr>
            </w:pPr>
          </w:p>
          <w:p w:rsidR="00A959A2" w:rsidRDefault="00A959A2" w:rsidP="00A959A2">
            <w:pPr>
              <w:pStyle w:val="a"/>
              <w:numPr>
                <w:ilvl w:val="0"/>
                <w:numId w:val="0"/>
              </w:numPr>
              <w:tabs>
                <w:tab w:val="left" w:pos="720"/>
              </w:tabs>
              <w:ind w:left="720" w:hanging="720"/>
              <w:jc w:val="both"/>
              <w:rPr>
                <w:rtl/>
              </w:rPr>
            </w:pPr>
            <w:r>
              <w:rPr>
                <w:rFonts w:hint="cs"/>
                <w:rtl/>
              </w:rPr>
              <w:t xml:space="preserve">הוחלט כאמור בחוות דעתו של סגן הנשיאה, עמי קובו. </w:t>
            </w:r>
          </w:p>
          <w:p w:rsidR="00A959A2" w:rsidRDefault="00A959A2" w:rsidP="00A959A2">
            <w:pPr>
              <w:rPr>
                <w:rFonts w:ascii="Arial" w:hAnsi="Arial"/>
                <w:rtl/>
              </w:rPr>
            </w:pPr>
            <w:r>
              <w:rPr>
                <w:rFonts w:ascii="Arial" w:hAnsi="Arial"/>
                <w:rtl/>
              </w:rPr>
              <w:t xml:space="preserve">ניתנה היום, </w:t>
            </w:r>
            <w:sdt>
              <w:sdtPr>
                <w:rPr>
                  <w:rtl/>
                </w:rPr>
                <w:alias w:val="1455"/>
                <w:tag w:val="1455"/>
                <w:id w:val="-1984149291"/>
                <w:text w:multiLine="1"/>
              </w:sdtPr>
              <w:sdtEndPr/>
              <w:sdtContent>
                <w:r>
                  <w:rPr>
                    <w:rFonts w:ascii="Arial" w:hAnsi="Arial"/>
                    <w:rtl/>
                  </w:rPr>
                  <w:t>ח' אלול תשפ"ד</w:t>
                </w:r>
              </w:sdtContent>
            </w:sdt>
            <w:r>
              <w:rPr>
                <w:rFonts w:ascii="Arial" w:hAnsi="Arial"/>
                <w:rtl/>
              </w:rPr>
              <w:t xml:space="preserve">, </w:t>
            </w:r>
            <w:sdt>
              <w:sdtPr>
                <w:rPr>
                  <w:rtl/>
                </w:rPr>
                <w:alias w:val="1456"/>
                <w:tag w:val="1456"/>
                <w:id w:val="1681311558"/>
                <w:text w:multiLine="1"/>
              </w:sdtPr>
              <w:sdtEndPr/>
              <w:sdtContent>
                <w:r>
                  <w:rPr>
                    <w:rFonts w:ascii="Arial" w:hAnsi="Arial"/>
                    <w:rtl/>
                  </w:rPr>
                  <w:t>11 ספטמבר 2024</w:t>
                </w:r>
              </w:sdtContent>
            </w:sdt>
            <w:r>
              <w:rPr>
                <w:rFonts w:ascii="Arial" w:hAnsi="Arial"/>
                <w:rtl/>
              </w:rPr>
              <w:t>, במעמד הצדדים</w:t>
            </w:r>
          </w:p>
          <w:p w:rsidR="00A959A2" w:rsidRDefault="00A959A2" w:rsidP="00A959A2">
            <w:pPr>
              <w:rPr>
                <w:rFonts w:ascii="Arial" w:hAnsi="Arial"/>
                <w:rtl/>
              </w:rPr>
            </w:pPr>
          </w:p>
          <w:p w:rsidR="00A959A2" w:rsidRDefault="00A959A2" w:rsidP="00A959A2">
            <w:pPr>
              <w:tabs>
                <w:tab w:val="left" w:pos="1625"/>
              </w:tabs>
              <w:jc w:val="center"/>
              <w:rPr>
                <w:rFonts w:ascii="Arial (W1)" w:hAnsi="Arial (W1)"/>
                <w:rtl/>
              </w:rPr>
            </w:pPr>
            <w:r>
              <w:rPr>
                <w:rtl/>
              </w:rPr>
              <w:t xml:space="preserve">                                </w:t>
            </w:r>
          </w:p>
          <w:p w:rsidR="00A959A2" w:rsidRDefault="00A959A2" w:rsidP="00A959A2">
            <w:pPr>
              <w:tabs>
                <w:tab w:val="left" w:pos="1625"/>
              </w:tabs>
              <w:jc w:val="center"/>
              <w:rPr>
                <w:rtl/>
              </w:rPr>
            </w:pPr>
          </w:p>
          <w:p w:rsidR="00A959A2" w:rsidRDefault="00A959A2" w:rsidP="00A959A2">
            <w:pPr>
              <w:spacing w:line="360" w:lineRule="auto"/>
              <w:rPr>
                <w:rFonts w:asciiTheme="minorHAnsi" w:hAnsiTheme="minorHAnsi" w:cstheme="minorBidi"/>
                <w:sz w:val="22"/>
                <w:szCs w:val="22"/>
                <w:rtl/>
              </w:rPr>
            </w:pPr>
          </w:p>
          <w:tbl>
            <w:tblPr>
              <w:tblStyle w:val="aa"/>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A959A2" w:rsidTr="00A959A2">
              <w:tc>
                <w:tcPr>
                  <w:tcW w:w="3383" w:type="dxa"/>
                  <w:hideMark/>
                </w:tcPr>
                <w:p w:rsidR="00A959A2" w:rsidRDefault="006A22E3" w:rsidP="00A959A2">
                  <w:pPr>
                    <w:jc w:val="center"/>
                    <w:rPr>
                      <w:rFonts w:ascii="Arial (W1)" w:hAnsi="Arial (W1)"/>
                      <w:sz w:val="20"/>
                      <w:szCs w:val="20"/>
                    </w:rPr>
                  </w:pPr>
                  <w:sdt>
                    <w:sdtPr>
                      <w:rPr>
                        <w:rFonts w:cs="Times New Roman"/>
                        <w:sz w:val="20"/>
                        <w:szCs w:val="20"/>
                        <w:rtl/>
                      </w:rPr>
                      <w:alias w:val="MergeField"/>
                      <w:tag w:val="2250"/>
                      <w:id w:val="-130406988"/>
                    </w:sdtPr>
                    <w:sdtEndPr/>
                    <w:sdtContent>
                      <w:r w:rsidR="00A959A2">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sdtContent>
                  </w:sdt>
                </w:p>
              </w:tc>
              <w:tc>
                <w:tcPr>
                  <w:tcW w:w="3536" w:type="dxa"/>
                </w:tcPr>
                <w:p w:rsidR="00A959A2" w:rsidRDefault="00A959A2" w:rsidP="00A959A2">
                  <w:pPr>
                    <w:spacing w:line="360" w:lineRule="auto"/>
                    <w:jc w:val="center"/>
                    <w:rPr>
                      <w:rFonts w:ascii="David" w:hAnsi="David"/>
                      <w:sz w:val="20"/>
                      <w:szCs w:val="20"/>
                      <w:rtl/>
                    </w:rPr>
                  </w:pPr>
                </w:p>
                <w:sdt>
                  <w:sdtPr>
                    <w:rPr>
                      <w:rFonts w:cs="Times New Roman"/>
                      <w:sz w:val="20"/>
                      <w:szCs w:val="20"/>
                      <w:rtl/>
                    </w:rPr>
                    <w:alias w:val="MergeField"/>
                    <w:tag w:val="2251"/>
                    <w:id w:val="-1271314896"/>
                  </w:sdtPr>
                  <w:sdtEndPr/>
                  <w:sdtContent>
                    <w:p w:rsidR="00A959A2" w:rsidRDefault="00A959A2" w:rsidP="00A959A2">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A959A2" w:rsidRDefault="00A959A2" w:rsidP="00A959A2">
                      <w:pPr>
                        <w:jc w:val="center"/>
                        <w:rPr>
                          <w:rFonts w:ascii="Arial (W1)" w:hAnsi="Arial (W1)"/>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A959A2" w:rsidTr="00A959A2">
              <w:tc>
                <w:tcPr>
                  <w:tcW w:w="3383" w:type="dxa"/>
                  <w:hideMark/>
                </w:tcPr>
                <w:p w:rsidR="00A959A2" w:rsidRDefault="006A22E3" w:rsidP="00A959A2">
                  <w:pPr>
                    <w:spacing w:line="360" w:lineRule="auto"/>
                    <w:jc w:val="center"/>
                    <w:rPr>
                      <w:rFonts w:ascii="David" w:hAnsi="David"/>
                    </w:rPr>
                  </w:pPr>
                  <w:sdt>
                    <w:sdtPr>
                      <w:rPr>
                        <w:rtl/>
                      </w:rPr>
                      <w:alias w:val="2235"/>
                      <w:tag w:val="2235"/>
                      <w:id w:val="1100069598"/>
                    </w:sdtPr>
                    <w:sdtEndPr/>
                    <w:sdtContent>
                      <w:r w:rsidR="00A959A2">
                        <w:rPr>
                          <w:rFonts w:ascii="David" w:hAnsi="David"/>
                          <w:rtl/>
                        </w:rPr>
                        <w:t>עמי</w:t>
                      </w:r>
                    </w:sdtContent>
                  </w:sdt>
                  <w:r w:rsidR="00A959A2">
                    <w:rPr>
                      <w:rFonts w:ascii="David" w:hAnsi="David"/>
                      <w:rtl/>
                    </w:rPr>
                    <w:t xml:space="preserve">  </w:t>
                  </w:r>
                  <w:sdt>
                    <w:sdtPr>
                      <w:rPr>
                        <w:rFonts w:cs="Times New Roman"/>
                        <w:rtl/>
                      </w:rPr>
                      <w:alias w:val="2240"/>
                      <w:tag w:val="2240"/>
                      <w:id w:val="825638415"/>
                    </w:sdtPr>
                    <w:sdtEndPr/>
                    <w:sdtContent>
                      <w:r w:rsidR="00A959A2">
                        <w:rPr>
                          <w:rFonts w:ascii="David" w:hAnsi="David"/>
                          <w:rtl/>
                        </w:rPr>
                        <w:t>קובו</w:t>
                      </w:r>
                    </w:sdtContent>
                  </w:sdt>
                  <w:r w:rsidR="00A959A2">
                    <w:rPr>
                      <w:rFonts w:ascii="David" w:hAnsi="David"/>
                      <w:rtl/>
                    </w:rPr>
                    <w:t xml:space="preserve">, </w:t>
                  </w:r>
                  <w:sdt>
                    <w:sdtPr>
                      <w:rPr>
                        <w:rFonts w:cs="Times New Roman"/>
                        <w:rtl/>
                      </w:rPr>
                      <w:alias w:val="2245"/>
                      <w:tag w:val="2245"/>
                      <w:id w:val="533847746"/>
                    </w:sdtPr>
                    <w:sdtEndPr/>
                    <w:sdtContent>
                      <w:r w:rsidR="00A959A2">
                        <w:rPr>
                          <w:rFonts w:ascii="David" w:hAnsi="David"/>
                          <w:rtl/>
                        </w:rPr>
                        <w:t xml:space="preserve">שופט,                             סגן הנשיאה, </w:t>
                      </w:r>
                    </w:sdtContent>
                  </w:sdt>
                </w:p>
              </w:tc>
              <w:tc>
                <w:tcPr>
                  <w:tcW w:w="3536" w:type="dxa"/>
                  <w:hideMark/>
                </w:tcPr>
                <w:p w:rsidR="00A959A2" w:rsidRDefault="006A22E3" w:rsidP="00A959A2">
                  <w:pPr>
                    <w:spacing w:line="360" w:lineRule="auto"/>
                    <w:jc w:val="center"/>
                    <w:rPr>
                      <w:rFonts w:ascii="David" w:hAnsi="David"/>
                    </w:rPr>
                  </w:pPr>
                  <w:sdt>
                    <w:sdtPr>
                      <w:rPr>
                        <w:rtl/>
                      </w:rPr>
                      <w:alias w:val="2236"/>
                      <w:tag w:val="2236"/>
                      <w:id w:val="639300144"/>
                    </w:sdtPr>
                    <w:sdtEndPr/>
                    <w:sdtContent>
                      <w:r w:rsidR="00A959A2">
                        <w:rPr>
                          <w:rFonts w:ascii="David" w:hAnsi="David"/>
                          <w:rtl/>
                        </w:rPr>
                        <w:t>מיכאל</w:t>
                      </w:r>
                    </w:sdtContent>
                  </w:sdt>
                  <w:r w:rsidR="00A959A2">
                    <w:rPr>
                      <w:rFonts w:ascii="David" w:hAnsi="David"/>
                      <w:rtl/>
                    </w:rPr>
                    <w:t xml:space="preserve"> </w:t>
                  </w:r>
                  <w:sdt>
                    <w:sdtPr>
                      <w:rPr>
                        <w:rFonts w:cs="Times New Roman"/>
                        <w:rtl/>
                      </w:rPr>
                      <w:alias w:val="2241"/>
                      <w:tag w:val="2241"/>
                      <w:id w:val="-2097088705"/>
                    </w:sdtPr>
                    <w:sdtEndPr/>
                    <w:sdtContent>
                      <w:r w:rsidR="00A959A2">
                        <w:rPr>
                          <w:rFonts w:ascii="David" w:hAnsi="David"/>
                          <w:rtl/>
                        </w:rPr>
                        <w:t>קרשן</w:t>
                      </w:r>
                    </w:sdtContent>
                  </w:sdt>
                  <w:r w:rsidR="00A959A2">
                    <w:rPr>
                      <w:rFonts w:ascii="David" w:hAnsi="David"/>
                      <w:rtl/>
                    </w:rPr>
                    <w:t xml:space="preserve">, </w:t>
                  </w:r>
                  <w:sdt>
                    <w:sdtPr>
                      <w:rPr>
                        <w:rFonts w:cs="Times New Roman"/>
                        <w:rtl/>
                      </w:rPr>
                      <w:alias w:val="2246"/>
                      <w:tag w:val="2246"/>
                      <w:id w:val="-1989393221"/>
                    </w:sdtPr>
                    <w:sdtEndPr/>
                    <w:sdtContent>
                      <w:r w:rsidR="00A959A2">
                        <w:rPr>
                          <w:rFonts w:ascii="David" w:hAnsi="David"/>
                          <w:rtl/>
                        </w:rPr>
                        <w:t>שופט</w:t>
                      </w:r>
                    </w:sdtContent>
                  </w:sdt>
                </w:p>
              </w:tc>
              <w:tc>
                <w:tcPr>
                  <w:tcW w:w="3341" w:type="dxa"/>
                  <w:hideMark/>
                </w:tcPr>
                <w:p w:rsidR="00A959A2" w:rsidRDefault="006A22E3" w:rsidP="00A959A2">
                  <w:pPr>
                    <w:spacing w:line="360" w:lineRule="auto"/>
                    <w:jc w:val="center"/>
                    <w:rPr>
                      <w:rFonts w:ascii="David" w:hAnsi="David"/>
                      <w:rtl/>
                    </w:rPr>
                  </w:pPr>
                  <w:sdt>
                    <w:sdtPr>
                      <w:rPr>
                        <w:rtl/>
                      </w:rPr>
                      <w:alias w:val="2237"/>
                      <w:tag w:val="2237"/>
                      <w:id w:val="-31890643"/>
                    </w:sdtPr>
                    <w:sdtEndPr/>
                    <w:sdtContent>
                      <w:r w:rsidR="00A959A2">
                        <w:rPr>
                          <w:rFonts w:ascii="David" w:hAnsi="David"/>
                          <w:rtl/>
                        </w:rPr>
                        <w:t>מרב</w:t>
                      </w:r>
                    </w:sdtContent>
                  </w:sdt>
                  <w:r w:rsidR="00A959A2">
                    <w:rPr>
                      <w:rFonts w:ascii="David" w:hAnsi="David"/>
                      <w:rtl/>
                    </w:rPr>
                    <w:t xml:space="preserve"> </w:t>
                  </w:r>
                  <w:sdt>
                    <w:sdtPr>
                      <w:rPr>
                        <w:rFonts w:cs="Times New Roman"/>
                        <w:rtl/>
                      </w:rPr>
                      <w:alias w:val="2242"/>
                      <w:tag w:val="2242"/>
                      <w:id w:val="358854881"/>
                    </w:sdtPr>
                    <w:sdtEndPr/>
                    <w:sdtContent>
                      <w:r w:rsidR="00A959A2">
                        <w:rPr>
                          <w:rFonts w:ascii="David" w:hAnsi="David"/>
                          <w:rtl/>
                        </w:rPr>
                        <w:t>גרינברג</w:t>
                      </w:r>
                    </w:sdtContent>
                  </w:sdt>
                  <w:r w:rsidR="00A959A2">
                    <w:rPr>
                      <w:rFonts w:ascii="David" w:hAnsi="David"/>
                      <w:rtl/>
                    </w:rPr>
                    <w:t xml:space="preserve">, </w:t>
                  </w:r>
                  <w:sdt>
                    <w:sdtPr>
                      <w:rPr>
                        <w:rFonts w:cs="Times New Roman"/>
                        <w:rtl/>
                      </w:rPr>
                      <w:alias w:val="2247"/>
                      <w:tag w:val="2247"/>
                      <w:id w:val="243227774"/>
                    </w:sdtPr>
                    <w:sdtEndPr/>
                    <w:sdtContent>
                      <w:r w:rsidR="00A959A2">
                        <w:rPr>
                          <w:rFonts w:ascii="David" w:hAnsi="David"/>
                          <w:rtl/>
                        </w:rPr>
                        <w:t>שופטת</w:t>
                      </w:r>
                    </w:sdtContent>
                  </w:sdt>
                </w:p>
              </w:tc>
            </w:tr>
          </w:tbl>
          <w:p w:rsidR="00A959A2" w:rsidRDefault="00A959A2" w:rsidP="00A959A2">
            <w:pPr>
              <w:tabs>
                <w:tab w:val="left" w:pos="1625"/>
              </w:tabs>
              <w:jc w:val="center"/>
              <w:rPr>
                <w:rFonts w:ascii="Arial (W1)" w:hAnsi="Arial (W1)"/>
                <w:rtl/>
              </w:rPr>
            </w:pPr>
          </w:p>
          <w:p w:rsidR="00D44968" w:rsidRPr="00D44968" w:rsidRDefault="00D44968" w:rsidP="00A959A2">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1" w:name="NGCSBookmark"/>
      <w:bookmarkEnd w:id="1"/>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2E3" w:rsidRDefault="006A22E3">
      <w:r>
        <w:separator/>
      </w:r>
    </w:p>
  </w:endnote>
  <w:endnote w:type="continuationSeparator" w:id="0">
    <w:p w:rsidR="006A22E3" w:rsidRDefault="006A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5"/>
      <w:jc w:val="center"/>
      <w:rPr>
        <w:rStyle w:val="ac"/>
        <w:rFonts w:ascii="David" w:hAnsi="David"/>
      </w:rPr>
    </w:pPr>
    <w:r w:rsidRPr="00E765F7">
      <w:rPr>
        <w:rStyle w:val="ac"/>
        <w:rFonts w:ascii="David" w:hAnsi="David"/>
      </w:rPr>
      <w:fldChar w:fldCharType="begin"/>
    </w:r>
    <w:r w:rsidR="00005C8B" w:rsidRPr="00E765F7">
      <w:rPr>
        <w:rStyle w:val="ac"/>
        <w:rFonts w:ascii="David" w:hAnsi="David"/>
      </w:rPr>
      <w:instrText xml:space="preserve"> PAGE </w:instrText>
    </w:r>
    <w:r w:rsidRPr="00E765F7">
      <w:rPr>
        <w:rStyle w:val="ac"/>
        <w:rFonts w:ascii="David" w:hAnsi="David"/>
      </w:rPr>
      <w:fldChar w:fldCharType="separate"/>
    </w:r>
    <w:r w:rsidR="006A0CEE">
      <w:rPr>
        <w:rStyle w:val="ac"/>
        <w:rFonts w:ascii="David" w:hAnsi="David"/>
        <w:rtl/>
      </w:rPr>
      <w:t>1</w:t>
    </w:r>
    <w:r w:rsidRPr="00E765F7">
      <w:rPr>
        <w:rStyle w:val="ac"/>
        <w:rFonts w:ascii="David" w:hAnsi="David"/>
      </w:rPr>
      <w:fldChar w:fldCharType="end"/>
    </w:r>
    <w:r w:rsidR="00005C8B" w:rsidRPr="00E765F7">
      <w:rPr>
        <w:rStyle w:val="ac"/>
        <w:rFonts w:ascii="David" w:hAnsi="David"/>
        <w:rtl/>
      </w:rPr>
      <w:t xml:space="preserve"> מתוך </w:t>
    </w:r>
    <w:r w:rsidRPr="00E765F7">
      <w:rPr>
        <w:rStyle w:val="ac"/>
        <w:rFonts w:ascii="David" w:hAnsi="David"/>
      </w:rPr>
      <w:fldChar w:fldCharType="begin"/>
    </w:r>
    <w:r w:rsidR="00005C8B" w:rsidRPr="00E765F7">
      <w:rPr>
        <w:rStyle w:val="ac"/>
        <w:rFonts w:ascii="David" w:hAnsi="David"/>
      </w:rPr>
      <w:instrText xml:space="preserve"> NUMPAGES </w:instrText>
    </w:r>
    <w:r w:rsidRPr="00E765F7">
      <w:rPr>
        <w:rStyle w:val="ac"/>
        <w:rFonts w:ascii="David" w:hAnsi="David"/>
      </w:rPr>
      <w:fldChar w:fldCharType="separate"/>
    </w:r>
    <w:r w:rsidR="006A0CEE">
      <w:rPr>
        <w:rStyle w:val="ac"/>
        <w:rFonts w:ascii="David" w:hAnsi="David"/>
        <w:rtl/>
      </w:rPr>
      <w:t>1</w:t>
    </w:r>
    <w:r w:rsidRPr="00E765F7">
      <w:rPr>
        <w:rStyle w:val="ac"/>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2E3" w:rsidRDefault="006A22E3">
      <w:r>
        <w:separator/>
      </w:r>
    </w:p>
  </w:footnote>
  <w:footnote w:type="continuationSeparator" w:id="0">
    <w:p w:rsidR="006A22E3" w:rsidRDefault="006A2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6A22E3" w:rsidP="00A959A2">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71808-10-21</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959A2">
                <w:rPr>
                  <w:b/>
                  <w:bCs/>
                  <w:noProof w:val="0"/>
                  <w:sz w:val="26"/>
                  <w:szCs w:val="26"/>
                  <w:rtl/>
                </w:rPr>
                <w:t>מדינת ישראל נ'</w:t>
              </w:r>
              <w:r w:rsidR="00A959A2">
                <w:rPr>
                  <w:rFonts w:hint="cs"/>
                  <w:b/>
                  <w:bCs/>
                  <w:noProof w:val="0"/>
                  <w:sz w:val="26"/>
                  <w:szCs w:val="26"/>
                  <w:rtl/>
                </w:rPr>
                <w:t xml:space="preserve"> פלוני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4"/>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E6DF5"/>
    <w:multiLevelType w:val="hybridMultilevel"/>
    <w:tmpl w:val="20A47A74"/>
    <w:lvl w:ilvl="0" w:tplc="1E1683AE">
      <w:start w:val="1"/>
      <w:numFmt w:val="decimal"/>
      <w:pStyle w:val="a"/>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518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51885&amp;lt;/CaseID&amp;gt;_x000d__x000a_        &amp;lt;CaseMonth&amp;gt;10&amp;lt;/CaseMonth&amp;gt;_x000d__x000a_        &amp;lt;CaseYear&amp;gt;2021&amp;lt;/CaseYear&amp;gt;_x000d__x000a_        &amp;lt;CaseNumber&amp;gt;71808&amp;lt;/CaseNumber&amp;gt;_x000d__x000a_        &amp;lt;NumeratorGroupID&amp;gt;1&amp;lt;/NumeratorGroupID&amp;gt;_x000d__x000a_        &amp;lt;CaseName&amp;gt;מדינת ישראל נ&amp;#39; כהן(עצור/אסיר בפיקוח)&amp;lt;/CaseName&amp;gt;_x000d__x000a_        &amp;lt;CourtID&amp;gt;896&amp;lt;/CourtID&amp;gt;_x000d__x000a_        &amp;lt;CaseTypeID&amp;gt;10284&amp;lt;/CaseTypeID&amp;gt;_x000d__x000a_        &amp;lt;CaseJudgeName&amp;gt;עמי קובו&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71808-10-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21-10-31T10:03: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לזירוז תמלול מיום 14.3.24 מלי.ג .&amp;lt;/CaseDesc&amp;gt;_x000d__x000a_        &amp;lt;isExistMinorSide&amp;gt;false&amp;lt;/isExistMinorSide&amp;gt;_x000d__x000a_        &amp;lt;isExistMinorWitness&amp;gt;false&amp;lt;/isExistMinorWitness&amp;gt;_x000d__x000a_        &amp;lt;ArchivingActivityID&amp;gt;1&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tru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51885&amp;lt;/CaseID&amp;gt;_x000d__x000a_        &amp;lt;CaseMonth&amp;gt;10&amp;lt;/CaseMonth&amp;gt;_x000d__x000a_        &amp;lt;CaseYear&amp;gt;2021&amp;lt;/CaseYear&amp;gt;_x000d__x000a_        &amp;lt;CaseNumber&amp;gt;71808&amp;lt;/CaseNumber&amp;gt;_x000d__x000a_        &amp;lt;NumeratorGroupID&amp;gt;1&amp;lt;/NumeratorGroupID&amp;gt;_x000d__x000a_        &amp;lt;CaseName&amp;gt;מדינת ישראל נ&amp;#39; כהן(עצור/אסיר בפיקוח)&amp;lt;/CaseName&amp;gt;_x000d__x000a_        &amp;lt;CourtID&amp;gt;896&amp;lt;/CourtID&amp;gt;_x000d__x000a_        &amp;lt;CaseTypeID&amp;gt;10284&amp;lt;/CaseTypeID&amp;gt;_x000d__x000a_        &amp;lt;CaseJudgeName&amp;gt;עמי קובו&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71808-10-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NextDeterminingTask&amp;gt;146&amp;lt;/CaseNextDeterminingTask&amp;gt;_x000d__x000a_        &amp;lt;CaseOpenDate&amp;gt;2021-10-31T10:03: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לזירוז תמלול מיום 14.3.24 מלי.ג .&amp;lt;/CaseDesc&amp;gt;_x000d__x000a_        &amp;lt;ArchivingActivityID&amp;gt;1&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95958&amp;lt;/DecisionID&amp;gt;_x000d__x000a_        &amp;lt;DecisionName&amp;gt;החלטה  שניתנה ע&amp;quot;י  עמי קובו&amp;lt;/DecisionName&amp;gt;_x000d__x000a_        &amp;lt;DecisionStatusID&amp;gt;1&amp;lt;/DecisionStatusID&amp;gt;_x000d__x000a_        &amp;lt;DecisionStatusChangeDate&amp;gt;2024-09-10T16:22:06.88+03:00&amp;lt;/DecisionStatusChangeDate&amp;gt;_x000d__x000a_        &amp;lt;DecisionSignatureDate&amp;gt;2024-09-10T08:57:53.823+03:00&amp;lt;/DecisionSignatureDate&amp;gt;_x000d__x000a_        &amp;lt;DecisionSignatureUserID&amp;gt;029737269@GOV.IL&amp;lt;/DecisionSignatureUserID&amp;gt;_x000d__x000a_        &amp;lt;DecisionCreateDate&amp;gt;2024-09-10T08:47:23.977+03:00&amp;lt;/DecisionCreateDate&amp;gt;_x000d__x000a_        &amp;lt;DecisionChangeDate&amp;gt;2024-09-10T16:22:06.92+03:00&amp;lt;/DecisionChangeDate&amp;gt;_x000d__x000a_        &amp;lt;DecisionChangeUserID&amp;gt;0297372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66129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4795958&amp;lt;/DecisionID&amp;gt;_x000d__x000a_        &amp;lt;CaseID&amp;gt;78751885&amp;lt;/CaseID&amp;gt;_x000d__x000a_        &amp;lt;IsOriginal&amp;gt;true&amp;lt;/IsOriginal&amp;gt;_x000d__x000a_        &amp;lt;IsDeleted&amp;gt;false&amp;lt;/IsDeleted&amp;gt;_x000d__x000a_        &amp;lt;CaseName&amp;gt;מדינת ישראל נ&amp;#39; כהן(עצור/אסיר בפיקוח)&amp;lt;/CaseName&amp;gt;_x000d__x000a_        &amp;lt;CaseDisplayIdentifier&amp;gt;71808-10-21 תפח&amp;quot;ע&amp;lt;/CaseDisplayIdentifier&amp;gt;_x000d__x000a_      &amp;lt;/dt_DecisionCase&amp;gt;_x000d__x000a_      &amp;lt;dt_DecisionJudgePanel diffgr:id=&amp;quot;dt_DecisionJudgePanel1&amp;quot; msdata:rowOrder=&amp;quot;0&amp;quot;&amp;gt;_x000d__x000a_        &amp;lt;DecisionID&amp;gt;154795958&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795958&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795958&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4795958"/>
    <w:docVar w:name="docID" w:val="454661297"/>
    <w:docVar w:name="judgeUPN" w:val="029737269@GOV.IL"/>
    <w:docVar w:name="NGCS.TemplateCaseInterestID" w:val="-1"/>
    <w:docVar w:name="NGCS.TemplateCaseTypeID" w:val="10284"/>
    <w:docVar w:name="NGCS.TemplateCourtID" w:val="896"/>
    <w:docVar w:name="NGCS.TemplateProceedingID" w:val="2"/>
    <w:docVar w:name="noteDocID" w:val="454661297"/>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33BC"/>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28F8"/>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53310"/>
    <w:rsid w:val="00573D3C"/>
    <w:rsid w:val="005C0627"/>
    <w:rsid w:val="005F34DF"/>
    <w:rsid w:val="005F4F09"/>
    <w:rsid w:val="0061431B"/>
    <w:rsid w:val="00622BAA"/>
    <w:rsid w:val="006306CF"/>
    <w:rsid w:val="006318D8"/>
    <w:rsid w:val="00644E9A"/>
    <w:rsid w:val="00671BD5"/>
    <w:rsid w:val="006805C1"/>
    <w:rsid w:val="00686C21"/>
    <w:rsid w:val="006931C1"/>
    <w:rsid w:val="00694556"/>
    <w:rsid w:val="006A0CEE"/>
    <w:rsid w:val="006A22E3"/>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D69B5"/>
    <w:rsid w:val="007E6115"/>
    <w:rsid w:val="007F4609"/>
    <w:rsid w:val="00814468"/>
    <w:rsid w:val="008176A1"/>
    <w:rsid w:val="00820005"/>
    <w:rsid w:val="00823DF7"/>
    <w:rsid w:val="00841158"/>
    <w:rsid w:val="00844318"/>
    <w:rsid w:val="00851257"/>
    <w:rsid w:val="00863F5D"/>
    <w:rsid w:val="00870890"/>
    <w:rsid w:val="00873602"/>
    <w:rsid w:val="00875D12"/>
    <w:rsid w:val="0088479D"/>
    <w:rsid w:val="00891F42"/>
    <w:rsid w:val="00896889"/>
    <w:rsid w:val="008A3EEF"/>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959A2"/>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B10B8"/>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table" w:customStyle="1" w:styleId="1">
    <w:name w:val="טבלת רשת1"/>
    <w:basedOn w:val="a2"/>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3230C7"/>
    <w:rPr>
      <w:color w:val="808080"/>
    </w:rPr>
  </w:style>
  <w:style w:type="paragraph" w:styleId="ae">
    <w:name w:val="List Paragraph"/>
    <w:basedOn w:val="a0"/>
    <w:uiPriority w:val="34"/>
    <w:qFormat/>
    <w:rsid w:val="00A959A2"/>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af">
    <w:name w:val="כותרת"/>
    <w:basedOn w:val="a0"/>
    <w:next w:val="af0"/>
    <w:autoRedefine/>
    <w:rsid w:val="00A959A2"/>
    <w:pPr>
      <w:spacing w:after="120" w:line="360" w:lineRule="auto"/>
    </w:pPr>
    <w:rPr>
      <w:bCs/>
      <w:noProof w:val="0"/>
      <w:u w:val="single"/>
      <w:lang w:eastAsia="he-IL"/>
    </w:rPr>
  </w:style>
  <w:style w:type="paragraph" w:customStyle="1" w:styleId="a">
    <w:name w:val="ממוספר"/>
    <w:basedOn w:val="a0"/>
    <w:rsid w:val="00A959A2"/>
    <w:pPr>
      <w:numPr>
        <w:numId w:val="1"/>
      </w:numPr>
      <w:spacing w:after="120" w:line="360" w:lineRule="auto"/>
    </w:pPr>
    <w:rPr>
      <w:rFonts w:ascii="David" w:hAnsi="David"/>
      <w:noProof w:val="0"/>
      <w:color w:val="000000"/>
    </w:rPr>
  </w:style>
  <w:style w:type="paragraph" w:styleId="af0">
    <w:name w:val="List"/>
    <w:basedOn w:val="a0"/>
    <w:semiHidden/>
    <w:unhideWhenUsed/>
    <w:rsid w:val="00A959A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905547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F53DD"/>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 w:val="00FE4D8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243982206</CasePartyID>
        <PartyTypeID>3</PartyTypeID>
        <ActivityStatusID>1</ActivityStatusID>
        <LegalEntityID>7551403</LegalEntityID>
        <CaseLegalEntityID>120661006</CaseLegalEntityID>
        <AssistantRoleID>13</AssistantRoleID>
        <AuthenticationTypeID>13</AuthenticationTypeID>
        <AuthenticationTypeName>משרדי ממשלה</AuthenticationTypeName>
        <LegalEntityNumber>513442041</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הרצל סמילה</FullName>
        <FirstName>הרצל</FirstName>
        <LastName>סמילה</LastName>
        <PartyPropertyName/>
        <AuthenticationTypeAndNumber>מ.ר. 44309</AuthenticationTypeAndNumber>
        <RepresentatedOrRepresentativesNames>ישכר כהן</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232734147</CasePartyID>
        <PartyTypeID>2</PartyTypeID>
        <ActivityStatusID>1</ActivityStatusID>
        <PartyAliasID>32</PartyAliasID>
        <PartyAliasName>בא כוח נאשמים</PartyAliasName>
        <LegalEntityID>418649</LegalEntityID>
        <CaseLegalEntityID>117268067</CaseLegalEntityID>
        <AuthenticationTypeID>4</AuthenticationTypeID>
        <AuthenticationTypeName>מ.ר.</AuthenticationTypeName>
        <LegalEntityNumber>44309</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ציקלג 8 קריית גת </FullAddress>
        <EmailAddress>herzel0361@gmail.com</EmailAddress>
        <MotionID>0</MotionID>
        <CasePleaID>0</CasePleaID>
        <LinkedCaseID>0</LinkedCaseID>
        <PartyID>2</PartyID>
        <CasePartyCategoryID>2</CasePartyCategoryID>
        <LegalEntityAddressID>76339093</LegalEntityAddressID>
        <LegalEntityEmailAddressID>67866246</LegalEntityEmailAddressID>
        <PleaTypeID>8</PleaTypeID>
        <LawyerOfficeName>משרד עו"ד: הרצל סמילה</LawyerOfficeName>
        <LawyerOfficeID>459293</LawyerOfficeID>
        <GroupPartyAlias/>
        <IsConverted>false</IsConverted>
        <LegalEntityNameID>39633</LegalEntityNameID>
        <RepresentatedNamesOfAssistant/>
        <LegalEntityTypeID>4</LegalEntityTypeID>
        <IsVerdictExists>false</IsVerdictExists>
        <IsAsirAzir>false</IsAsirAzir>
        <MainAndSecSpec/>
        <IsPublicationProhibited>false</IsPublicationProhibited>
        <PublicationProhibitedFullName>הרצל סמילה</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נורית בידני</FullName>
        <FirstName>נורית</FirstName>
        <LastName>בידני</LastName>
        <PartyPropertyName/>
        <AuthenticationTypeAndNumber>ת"ז 056211568</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266447438</CasePartyID>
        <PartyTypeID>4</PartyTypeID>
        <ActivityStatusID>1</ActivityStatusID>
        <PartyAliasID>73</PartyAliasID>
        <PartyAliasName>עד נאשמים</PartyAliasName>
        <LegalEntityID>22065612</LegalEntityID>
        <CaseLegalEntityID>127793345</CaseLegalEntityID>
        <AuthenticationTypeID>1</AuthenticationTypeID>
        <AuthenticationTypeName>ת"ז</AuthenticationTypeName>
        <LegalEntityNumber>056211568</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רכב ישראל 9 הרצלייה </FullAddress>
        <MotionID>0</MotionID>
        <CasePleaID>0</CasePleaID>
        <FatherName>צדוק</FatherName>
        <LinkedCaseID>0</LinkedCaseID>
        <PartyID>2</PartyID>
        <CasePartyCategoryID>2</CasePartyCategoryID>
        <LegalEntityAddressID>88968462</LegalEntityAddressID>
        <PleaTypeID>8</PleaTypeID>
        <GroupPartyAlias/>
        <IsConverted>false</IsConverted>
        <LegalEntityRegisteredNameID>2517349</LegalEntityRegisteredNameID>
        <LegalEntityNameID>96160473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נורית בידני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232715168</CasePartyID>
        <PartyTypeID>1</PartyTypeID>
        <ActivityStatusID>1</ActivityStatusID>
        <PartyAliasID>11</PartyAliasID>
        <PartyAliasName>מאשימה</PartyAliasName>
        <OrdinalNumber>1</OrdinalNumber>
        <LegalEntityID>4</LegalEntityID>
        <CaseLegalEntityID>117262058</CaseLegalEntityID>
        <AuthenticationTypeID>41</AuthenticationTypeID>
        <AuthenticationTypeName>מדינת ישראל </AuthenticationTypeName>
        <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232715169</CasePartyID>
        <PartyTypeID>2</PartyTypeID>
        <ActivityStatusID>1</ActivityStatusID>
        <PartyAliasID>30</PartyAliasID>
        <PartyAliasName>בא כוח מאשימה</PartyAliasName>
        <OrdinalNumber>1</OrdinalNumber>
        <LegalEntityID>398656</LegalEntityID>
        <CaseLegalEntityID>117262059</CaseLegalEntityID>
        <AuthenticationTypeID>4</AuthenticationTypeID>
        <AuthenticationTypeName>מ.ר.</AuthenticationTypeName>
        <LegalEntityNumber>19202</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ישכר כהן (עצור/אסיר בפיקוח)</FullName>
        <FirstName>ישכר</FirstName>
        <LastName>כהן</LastName>
        <PartyPropertyID>26</PartyPropertyID>
        <PartyPropertyName/>
        <AuthenticationTypeAndNumber>ת"ז 053184743</AuthenticationTypeAndNumber>
        <RepresentatedOrRepresentativesNames>הרצל סמילה</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232715170</CasePartyID>
        <PartyTypeID>1</PartyTypeID>
        <ActivityStatusID>1</ActivityStatusID>
        <PartyAliasID>13</PartyAliasID>
        <PartyAliasName>נאשם</PartyAliasName>
        <OrdinalNumber>1</OrdinalNumber>
        <LegalEntityID>72269714</LegalEntityID>
        <CaseLegalEntityID>117262060</CaseLegalEntityID>
        <AuthenticationTypeID>1</AuthenticationTypeID>
        <AuthenticationTypeName>ת"ז</AuthenticationTypeName>
        <LegalEntityNumber>053184743</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MotionID>0</MotionID>
        <CasePleaID>0</CasePleaID>
        <BirthDate>1955-11-01T00:00:00+02:00</BirthDate>
        <FatherName>שוקר</FatherName>
        <LinkedCaseID>0</LinkedCaseID>
        <PartyID>2</PartyID>
        <CasePartyCategoryID>2</CasePartyCategoryID>
        <PleaTypeID>8</PleaTypeID>
        <GroupPartyAlias>נאשמים</GroupPartyAlias>
        <IsConverted>false</IsConverted>
        <LegalEntityNameID>92145566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ישכר כהן (עצור/אסיר בפיקוח)</PublicationProhibitedFullName>
      </CaseParties>
    </CasePartiesSelectionDS>
    <DecisionName>החלטה  שניתנה ע"י  עמי קובו</DecisionName>
    <CourtDisplayName>בית המשפט המחוזי מרכז-לוד</CourtDisplayName>
    <IsCaseJudgePanel>true</IsCaseJudgePanel>
    <DecisionSignatureDate>2024-09-10T08:45:09.3548142+03:00</DecisionSignatureDate>
    <OpenCaseDate>2021-10-31T10:03:00+02:00</OpenCaseDate>
    <ExternalCaseNumber>730245/2021</ExternalCaseNumber>
    <DecisionTypeID>1</DecisionTypeID>
    <DecisionSignatureUserName>עמי קובו</DecisionSignatureUserName>
    <DecisionSignatureDateHebrew>2024-09-10T08:45:09.3548142+03:00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כהן(עצור/אסיר בפיקוח)</CaseName>
    <DecisionNumberInCase>22</DecisionNumberInCase>
  </dt_Decision>
  <dt_DecisionCase>
    <DecisionID>0</DecisionID>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243982206</CasePartyID>
        <PartyTypeID>3</PartyTypeID>
        <ActivityStatusID>1</ActivityStatusID>
        <LegalEntityID>7551403</LegalEntityID>
        <CaseLegalEntityID>120661006</CaseLegalEntityID>
        <AssistantRoleID>13</AssistantRoleID>
        <AuthenticationTypeID>13</AuthenticationTypeID>
        <AuthenticationTypeName>משרדי ממשלה</AuthenticationTypeName>
        <LegalEntityNumber>513442041</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הרצל סמילה</FullName>
        <FirstName>הרצל</FirstName>
        <LastName>סמילה</LastName>
        <PartyPropertyName/>
        <AuthenticationTypeAndNumber>מ.ר. 44309</AuthenticationTypeAndNumber>
        <RepresentatedOrRepresentativesNames>ישכר כהן</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232734147</CasePartyID>
        <PartyTypeID>2</PartyTypeID>
        <ActivityStatusID>1</ActivityStatusID>
        <PartyAliasID>32</PartyAliasID>
        <PartyAliasName>בא כוח נאשמים</PartyAliasName>
        <LegalEntityID>418649</LegalEntityID>
        <CaseLegalEntityID>117268067</CaseLegalEntityID>
        <AuthenticationTypeID>4</AuthenticationTypeID>
        <AuthenticationTypeName>מ.ר.</AuthenticationTypeName>
        <LegalEntityNumber>44309</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ציקלג 8 קריית גת </FullAddress>
        <EmailAddress>herzel0361@gmail.com</EmailAddress>
        <MotionID>0</MotionID>
        <CasePleaID>0</CasePleaID>
        <LinkedCaseID>0</LinkedCaseID>
        <PartyID>2</PartyID>
        <CasePartyCategoryID>2</CasePartyCategoryID>
        <LegalEntityAddressID>76339093</LegalEntityAddressID>
        <LegalEntityEmailAddressID>67866246</LegalEntityEmailAddressID>
        <PleaTypeID>8</PleaTypeID>
        <LawyerOfficeName>משרד עו"ד: הרצל סמילה</LawyerOfficeName>
        <LawyerOfficeID>459293</LawyerOfficeID>
        <GroupPartyAlias/>
        <IsConverted>false</IsConverted>
        <LegalEntityNameID>39633</LegalEntityNameID>
        <RepresentatedNamesOfAssistant/>
        <LegalEntityTypeID>4</LegalEntityTypeID>
        <IsVerdictExists>false</IsVerdictExists>
        <IsAsirAzir>false</IsAsirAzir>
        <MainAndSecSpec/>
        <IsPublicationProhibited>false</IsPublicationProhibited>
        <PublicationProhibitedFullName>הרצל סמילה</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נורית בידני</FullName>
        <FirstName>נורית</FirstName>
        <LastName>בידני</LastName>
        <PartyPropertyName/>
        <AuthenticationTypeAndNumber>ת"ז 056211568</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266447438</CasePartyID>
        <PartyTypeID>4</PartyTypeID>
        <ActivityStatusID>1</ActivityStatusID>
        <PartyAliasID>73</PartyAliasID>
        <PartyAliasName>עד נאשמים</PartyAliasName>
        <LegalEntityID>22065612</LegalEntityID>
        <CaseLegalEntityID>127793345</CaseLegalEntityID>
        <AuthenticationTypeID>1</AuthenticationTypeID>
        <AuthenticationTypeName>ת"ז</AuthenticationTypeName>
        <LegalEntityNumber>056211568</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רכב ישראל 9 הרצלייה </FullAddress>
        <MotionID>0</MotionID>
        <CasePleaID>0</CasePleaID>
        <FatherName>צדוק</FatherName>
        <LinkedCaseID>0</LinkedCaseID>
        <PartyID>2</PartyID>
        <CasePartyCategoryID>2</CasePartyCategoryID>
        <LegalEntityAddressID>88968462</LegalEntityAddressID>
        <PleaTypeID>8</PleaTypeID>
        <GroupPartyAlias/>
        <IsConverted>false</IsConverted>
        <LegalEntityRegisteredNameID>2517349</LegalEntityRegisteredNameID>
        <LegalEntityNameID>96160473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נורית בידני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232715168</CasePartyID>
        <PartyTypeID>1</PartyTypeID>
        <ActivityStatusID>1</ActivityStatusID>
        <PartyAliasID>11</PartyAliasID>
        <PartyAliasName>מאשימה</PartyAliasName>
        <OrdinalNumber>1</OrdinalNumber>
        <LegalEntityID>4</LegalEntityID>
        <CaseLegalEntityID>117262058</CaseLegalEntityID>
        <AuthenticationTypeID>41</AuthenticationTypeID>
        <AuthenticationTypeName>מדינת ישראל </AuthenticationTypeName>
        <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232715169</CasePartyID>
        <PartyTypeID>2</PartyTypeID>
        <ActivityStatusID>1</ActivityStatusID>
        <PartyAliasID>30</PartyAliasID>
        <PartyAliasName>בא כוח מאשימה</PartyAliasName>
        <OrdinalNumber>1</OrdinalNumber>
        <LegalEntityID>398656</LegalEntityID>
        <CaseLegalEntityID>117262059</CaseLegalEntityID>
        <AuthenticationTypeID>4</AuthenticationTypeID>
        <AuthenticationTypeName>מ.ר.</AuthenticationTypeName>
        <LegalEntityNumber>19202</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ישכר כהן (עצור/אסיר בפיקוח)</FullName>
        <FirstName>ישכר</FirstName>
        <LastName>כהן</LastName>
        <PartyPropertyID>26</PartyPropertyID>
        <PartyPropertyName/>
        <AuthenticationTypeAndNumber>ת"ז 053184743</AuthenticationTypeAndNumber>
        <RepresentatedOrRepresentativesNames>הרצל סמילה</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232715170</CasePartyID>
        <PartyTypeID>1</PartyTypeID>
        <ActivityStatusID>1</ActivityStatusID>
        <PartyAliasID>13</PartyAliasID>
        <PartyAliasName>נאשם</PartyAliasName>
        <OrdinalNumber>1</OrdinalNumber>
        <LegalEntityID>72269714</LegalEntityID>
        <CaseLegalEntityID>117262060</CaseLegalEntityID>
        <AuthenticationTypeID>1</AuthenticationTypeID>
        <AuthenticationTypeName>ת"ז</AuthenticationTypeName>
        <LegalEntityNumber>053184743</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MotionID>0</MotionID>
        <CasePleaID>0</CasePleaID>
        <BirthDate>1955-11-01T00:00:00+02:00</BirthDate>
        <FatherName>שוקר</FatherName>
        <LinkedCaseID>0</LinkedCaseID>
        <PartyID>2</PartyID>
        <CasePartyCategoryID>2</CasePartyCategoryID>
        <PleaTypeID>8</PleaTypeID>
        <GroupPartyAlias>נאשמים</GroupPartyAlias>
        <IsConverted>false</IsConverted>
        <LegalEntityNameID>92145566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ישכר כהן (עצור/אסיר בפיקוח)</PublicationProhibitedFullName>
      </CaseParties>
    </CasePartiesSelectionDS>
    <CaseName>מדינת ישראל נ' כהן(עצור/אסיר בפיקוח)</CaseName>
    <CaseDisplayIdentifier>71808-10-21</CaseDisplayIdentifier>
    <CaseTypeShortName>תפח"ע</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08-9154150</Fax>
    <Phone>08-9154009</Phone>
    <PartyID>2</PartyID>
    <PartyTypeID>2</PartyTypeID>
    <DecisionID>0</DecisionID>
    <StreetName>ציקלג 8</StreetName>
    <ZipCode>822774</ZipCode>
    <CityName>קריית גת</CityName>
    <FullName>הרצל סמילה</FullName>
    <Email>herzel0361@gmail.com</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FutureSittingDate>2024-09-11T14:00:00+03:00</FutureSittingDate>
    <PreviousMeetingDate>2024-05-29T09:00:00+03:00</PreviousMeetingDate>
    <NextSittingTypeID>12</NextSittingTypeID>
    <PreviousSittingTypeID>35</PreviousSittingTypeID>
    <NextMeetingDisplayName>עמי קובו, מיכאל קרשן, מרב גרינברג</NextMeetingDisplayName>
    <NextMeetingUserUPN>027781319@GOV.IL, 028615656@GOV.IL, 029737269@GOV.IL</NextMeetingUserUPN>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7933D-6CAF-43ED-AEF8-E1569A0D8594}">
  <ds:schemaRefs/>
</ds:datastoreItem>
</file>

<file path=customXml/itemProps2.xml><?xml version="1.0" encoding="utf-8"?>
<ds:datastoreItem xmlns:ds="http://schemas.openxmlformats.org/officeDocument/2006/customXml" ds:itemID="{623F3023-CE2D-4B70-AF71-D863C06CF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14659</Words>
  <Characters>73300</Characters>
  <Application>Microsoft Office Word</Application>
  <DocSecurity>0</DocSecurity>
  <Lines>610</Lines>
  <Paragraphs>175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2024-09-18T10:12:00Z</dcterms:created>
  <dcterms:modified xsi:type="dcterms:W3CDTF">2024-09-18T10:12:00Z</dcterms:modified>
</cp:coreProperties>
</file>